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5633" w14:textId="12E19D51" w:rsidR="00CC1042" w:rsidRDefault="00D01299" w:rsidP="00CC1042">
      <w:pPr>
        <w:shd w:val="clear" w:color="auto" w:fill="FFFFFF"/>
        <w:spacing w:before="100" w:beforeAutospacing="1" w:after="100" w:afterAutospacing="1"/>
        <w:rPr>
          <w:rFonts w:ascii="Arial" w:hAnsi="Arial" w:cs="Arial"/>
          <w:b/>
          <w:sz w:val="22"/>
          <w:szCs w:val="22"/>
        </w:rPr>
      </w:pPr>
      <w:r w:rsidRPr="008F0F8E">
        <w:rPr>
          <w:rFonts w:ascii="Arial" w:hAnsi="Arial" w:cs="Arial"/>
          <w:b/>
          <w:sz w:val="22"/>
          <w:szCs w:val="22"/>
        </w:rPr>
        <w:t>News release</w:t>
      </w:r>
    </w:p>
    <w:p w14:paraId="2E53B866" w14:textId="5CD5F772" w:rsidR="0033683F" w:rsidRPr="008F0F8E" w:rsidRDefault="0033683F" w:rsidP="00CC1042">
      <w:pPr>
        <w:shd w:val="clear" w:color="auto" w:fill="FFFFFF"/>
        <w:spacing w:before="100" w:beforeAutospacing="1" w:after="100" w:afterAutospacing="1"/>
        <w:rPr>
          <w:rFonts w:ascii="Arial" w:hAnsi="Arial" w:cs="Arial"/>
          <w:b/>
          <w:sz w:val="22"/>
          <w:szCs w:val="22"/>
        </w:rPr>
      </w:pPr>
      <w:r>
        <w:rPr>
          <w:rFonts w:ascii="Arial" w:hAnsi="Arial" w:cs="Arial"/>
          <w:b/>
          <w:sz w:val="22"/>
          <w:szCs w:val="22"/>
        </w:rPr>
        <w:t>30 May 2019</w:t>
      </w:r>
    </w:p>
    <w:p w14:paraId="6AC7E9A3" w14:textId="74C54612" w:rsidR="008F0F8E" w:rsidRPr="008F0F8E" w:rsidRDefault="008F0F8E" w:rsidP="008F0F8E">
      <w:pPr>
        <w:jc w:val="center"/>
        <w:rPr>
          <w:rFonts w:ascii="Arial" w:hAnsi="Arial" w:cs="Arial"/>
          <w:b/>
          <w:caps/>
          <w:color w:val="000000" w:themeColor="text1"/>
          <w:sz w:val="28"/>
          <w:szCs w:val="28"/>
        </w:rPr>
      </w:pPr>
      <w:r w:rsidRPr="008F0F8E">
        <w:rPr>
          <w:rFonts w:ascii="Arial" w:hAnsi="Arial" w:cs="Arial"/>
          <w:b/>
          <w:caps/>
          <w:color w:val="000000" w:themeColor="text1"/>
          <w:sz w:val="28"/>
          <w:szCs w:val="28"/>
        </w:rPr>
        <w:t>Small business confidence HITS two-year low</w:t>
      </w:r>
    </w:p>
    <w:p w14:paraId="4D996F00" w14:textId="77777777" w:rsidR="008F0F8E" w:rsidRDefault="008F0F8E" w:rsidP="008F0F8E">
      <w:pPr>
        <w:jc w:val="both"/>
        <w:rPr>
          <w:rFonts w:ascii="Arial" w:hAnsi="Arial" w:cs="Arial"/>
          <w:color w:val="000000" w:themeColor="text1"/>
          <w:sz w:val="22"/>
          <w:szCs w:val="22"/>
        </w:rPr>
      </w:pPr>
      <w:bookmarkStart w:id="0" w:name="_GoBack"/>
      <w:bookmarkEnd w:id="0"/>
    </w:p>
    <w:p w14:paraId="51AFCCA2" w14:textId="77777777"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The proportion of small businesses predicting growth for the next three-months has fallen to 34% - its lowest level for eight successive quarters and, for the first time, the proportion of businesses predicting significant expansion has fallen below 5%.</w:t>
      </w:r>
    </w:p>
    <w:p w14:paraId="125AF679" w14:textId="4F1E1F9E" w:rsidR="008F0F8E" w:rsidRP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 xml:space="preserve"> </w:t>
      </w:r>
    </w:p>
    <w:p w14:paraId="46AE34EE" w14:textId="604A53B1"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The new research from Hitachi Capital Business Finance asked a nationally representative sample of 1,184 small business owners to forecast their growth outlook for the three-month period to 30 June. Whilst the percentage of small businesses predicting growth held firm at 36% over the previous three quarters - through a period of extreme political and economic uncertainty - this month sees the first fall in the number of small businesses predicting any form of growth – whether significant expansion or modest, organic growth.</w:t>
      </w:r>
    </w:p>
    <w:p w14:paraId="1E799C46" w14:textId="77777777" w:rsidR="008F0F8E" w:rsidRPr="008F0F8E" w:rsidRDefault="008F0F8E" w:rsidP="008F0F8E">
      <w:pPr>
        <w:jc w:val="both"/>
        <w:rPr>
          <w:rFonts w:ascii="Arial" w:hAnsi="Arial" w:cs="Arial"/>
          <w:color w:val="000000" w:themeColor="text1"/>
          <w:sz w:val="22"/>
          <w:szCs w:val="22"/>
        </w:rPr>
      </w:pPr>
    </w:p>
    <w:p w14:paraId="24317869" w14:textId="3A6CDD48"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This time last year, the spring months saw an annual high in business confidence, as businesses started the new tax year with bullish plans for the year ahead. This spring, confidence is sliding.</w:t>
      </w:r>
    </w:p>
    <w:p w14:paraId="7D71E14E" w14:textId="77777777" w:rsidR="008F0F8E" w:rsidRPr="008F0F8E" w:rsidRDefault="008F0F8E" w:rsidP="008F0F8E">
      <w:pPr>
        <w:jc w:val="both"/>
        <w:rPr>
          <w:rFonts w:ascii="Arial" w:hAnsi="Arial" w:cs="Arial"/>
          <w:color w:val="000000" w:themeColor="text1"/>
          <w:sz w:val="22"/>
          <w:szCs w:val="22"/>
        </w:rPr>
      </w:pPr>
    </w:p>
    <w:p w14:paraId="18E527D8" w14:textId="0911FBB4" w:rsidR="008F0F8E" w:rsidRPr="008F0F8E" w:rsidRDefault="008F0F8E" w:rsidP="008F0F8E">
      <w:pPr>
        <w:jc w:val="center"/>
        <w:rPr>
          <w:rFonts w:ascii="Arial" w:hAnsi="Arial" w:cs="Arial"/>
          <w:b/>
          <w:color w:val="000000" w:themeColor="text1"/>
          <w:sz w:val="22"/>
          <w:szCs w:val="22"/>
        </w:rPr>
      </w:pPr>
      <w:r w:rsidRPr="008F0F8E">
        <w:rPr>
          <w:rFonts w:ascii="Arial" w:hAnsi="Arial" w:cs="Arial"/>
          <w:b/>
          <w:color w:val="000000" w:themeColor="text1"/>
          <w:sz w:val="22"/>
          <w:szCs w:val="22"/>
        </w:rPr>
        <w:t xml:space="preserve">Percentage of small businesses that predict net growth </w:t>
      </w:r>
      <w:r>
        <w:rPr>
          <w:rFonts w:ascii="Arial" w:hAnsi="Arial" w:cs="Arial"/>
          <w:b/>
          <w:color w:val="000000" w:themeColor="text1"/>
          <w:sz w:val="22"/>
          <w:szCs w:val="22"/>
        </w:rPr>
        <w:t xml:space="preserve">to 30 June </w:t>
      </w:r>
      <w:r w:rsidRPr="008F0F8E">
        <w:rPr>
          <w:rFonts w:ascii="Arial" w:hAnsi="Arial" w:cs="Arial"/>
          <w:b/>
          <w:color w:val="000000" w:themeColor="text1"/>
          <w:sz w:val="22"/>
          <w:szCs w:val="22"/>
        </w:rPr>
        <w:t>– and within this</w:t>
      </w:r>
      <w:r>
        <w:rPr>
          <w:rFonts w:ascii="Arial" w:hAnsi="Arial" w:cs="Arial"/>
          <w:b/>
          <w:color w:val="000000" w:themeColor="text1"/>
          <w:sz w:val="22"/>
          <w:szCs w:val="22"/>
        </w:rPr>
        <w:t>,</w:t>
      </w:r>
      <w:r w:rsidRPr="008F0F8E">
        <w:rPr>
          <w:rFonts w:ascii="Arial" w:hAnsi="Arial" w:cs="Arial"/>
          <w:b/>
          <w:color w:val="000000" w:themeColor="text1"/>
          <w:sz w:val="22"/>
          <w:szCs w:val="22"/>
        </w:rPr>
        <w:t xml:space="preserve"> those that predict significant expansion</w:t>
      </w:r>
      <w:r>
        <w:rPr>
          <w:rFonts w:ascii="Arial" w:hAnsi="Arial" w:cs="Arial"/>
          <w:b/>
          <w:color w:val="000000" w:themeColor="text1"/>
          <w:sz w:val="22"/>
          <w:szCs w:val="22"/>
        </w:rPr>
        <w:t>.</w:t>
      </w:r>
      <w:r w:rsidRPr="008F0F8E">
        <w:rPr>
          <w:rFonts w:ascii="Arial" w:hAnsi="Arial" w:cs="Arial"/>
          <w:b/>
          <w:color w:val="000000" w:themeColor="text1"/>
          <w:sz w:val="22"/>
          <w:szCs w:val="22"/>
        </w:rPr>
        <w:t xml:space="preserve"> Results for the last two years.</w:t>
      </w:r>
    </w:p>
    <w:tbl>
      <w:tblPr>
        <w:tblStyle w:val="TableGrid"/>
        <w:tblW w:w="0" w:type="auto"/>
        <w:tblLook w:val="04A0" w:firstRow="1" w:lastRow="0" w:firstColumn="1" w:lastColumn="0" w:noHBand="0" w:noVBand="1"/>
      </w:tblPr>
      <w:tblGrid>
        <w:gridCol w:w="1205"/>
        <w:gridCol w:w="3236"/>
        <w:gridCol w:w="3849"/>
      </w:tblGrid>
      <w:tr w:rsidR="008F0F8E" w:rsidRPr="008F0F8E" w14:paraId="66EA4153" w14:textId="77777777" w:rsidTr="008F0F8E">
        <w:tc>
          <w:tcPr>
            <w:tcW w:w="1205" w:type="dxa"/>
          </w:tcPr>
          <w:p w14:paraId="2A3638D3" w14:textId="77777777" w:rsidR="008F0F8E" w:rsidRPr="008F0F8E" w:rsidRDefault="008F0F8E" w:rsidP="00B45862">
            <w:pPr>
              <w:rPr>
                <w:rFonts w:ascii="Arial" w:hAnsi="Arial" w:cs="Arial"/>
                <w:color w:val="000000" w:themeColor="text1"/>
                <w:sz w:val="22"/>
                <w:szCs w:val="22"/>
              </w:rPr>
            </w:pPr>
          </w:p>
        </w:tc>
        <w:tc>
          <w:tcPr>
            <w:tcW w:w="3236" w:type="dxa"/>
          </w:tcPr>
          <w:p w14:paraId="7D2EC8B2" w14:textId="2270259D"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 xml:space="preserve">Predict net growth </w:t>
            </w:r>
          </w:p>
        </w:tc>
        <w:tc>
          <w:tcPr>
            <w:tcW w:w="3849" w:type="dxa"/>
          </w:tcPr>
          <w:p w14:paraId="06D650E6" w14:textId="435FB58D"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Predict significant expansion</w:t>
            </w:r>
          </w:p>
        </w:tc>
      </w:tr>
      <w:tr w:rsidR="008F0F8E" w:rsidRPr="008F0F8E" w14:paraId="3515633A" w14:textId="77777777" w:rsidTr="008F0F8E">
        <w:tc>
          <w:tcPr>
            <w:tcW w:w="1205" w:type="dxa"/>
          </w:tcPr>
          <w:p w14:paraId="43D8E8B7"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Q3 2017</w:t>
            </w:r>
          </w:p>
        </w:tc>
        <w:tc>
          <w:tcPr>
            <w:tcW w:w="3236" w:type="dxa"/>
          </w:tcPr>
          <w:p w14:paraId="73648CF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40%</w:t>
            </w:r>
          </w:p>
        </w:tc>
        <w:tc>
          <w:tcPr>
            <w:tcW w:w="3849" w:type="dxa"/>
          </w:tcPr>
          <w:p w14:paraId="7380F3C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r>
      <w:tr w:rsidR="008F0F8E" w:rsidRPr="008F0F8E" w14:paraId="48B85BC0" w14:textId="77777777" w:rsidTr="008F0F8E">
        <w:tc>
          <w:tcPr>
            <w:tcW w:w="1205" w:type="dxa"/>
          </w:tcPr>
          <w:p w14:paraId="108C6FA1"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Q4 2017</w:t>
            </w:r>
          </w:p>
        </w:tc>
        <w:tc>
          <w:tcPr>
            <w:tcW w:w="3236" w:type="dxa"/>
          </w:tcPr>
          <w:p w14:paraId="76A338DE"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38%</w:t>
            </w:r>
          </w:p>
        </w:tc>
        <w:tc>
          <w:tcPr>
            <w:tcW w:w="3849" w:type="dxa"/>
          </w:tcPr>
          <w:p w14:paraId="6EC9A47E"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7%</w:t>
            </w:r>
          </w:p>
        </w:tc>
      </w:tr>
      <w:tr w:rsidR="008F0F8E" w:rsidRPr="008F0F8E" w14:paraId="560A12DA" w14:textId="77777777" w:rsidTr="008F0F8E">
        <w:tc>
          <w:tcPr>
            <w:tcW w:w="1205" w:type="dxa"/>
          </w:tcPr>
          <w:p w14:paraId="63A4B6D4"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Q1 2018</w:t>
            </w:r>
          </w:p>
        </w:tc>
        <w:tc>
          <w:tcPr>
            <w:tcW w:w="3236" w:type="dxa"/>
          </w:tcPr>
          <w:p w14:paraId="4106DA4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39%</w:t>
            </w:r>
          </w:p>
        </w:tc>
        <w:tc>
          <w:tcPr>
            <w:tcW w:w="3849" w:type="dxa"/>
          </w:tcPr>
          <w:p w14:paraId="3EF19C6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r>
      <w:tr w:rsidR="008F0F8E" w:rsidRPr="008F0F8E" w14:paraId="138F6656" w14:textId="77777777" w:rsidTr="008F0F8E">
        <w:tc>
          <w:tcPr>
            <w:tcW w:w="1205" w:type="dxa"/>
          </w:tcPr>
          <w:p w14:paraId="5B82239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Q2 2018</w:t>
            </w:r>
          </w:p>
        </w:tc>
        <w:tc>
          <w:tcPr>
            <w:tcW w:w="3236" w:type="dxa"/>
          </w:tcPr>
          <w:p w14:paraId="2A9B3A8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41%</w:t>
            </w:r>
          </w:p>
        </w:tc>
        <w:tc>
          <w:tcPr>
            <w:tcW w:w="3849" w:type="dxa"/>
          </w:tcPr>
          <w:p w14:paraId="202055F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r>
      <w:tr w:rsidR="008F0F8E" w:rsidRPr="008F0F8E" w14:paraId="4A864513" w14:textId="77777777" w:rsidTr="008F0F8E">
        <w:tc>
          <w:tcPr>
            <w:tcW w:w="1205" w:type="dxa"/>
          </w:tcPr>
          <w:p w14:paraId="7F55B726"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Q3 2018</w:t>
            </w:r>
          </w:p>
        </w:tc>
        <w:tc>
          <w:tcPr>
            <w:tcW w:w="3236" w:type="dxa"/>
          </w:tcPr>
          <w:p w14:paraId="166018B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w:t>
            </w:r>
          </w:p>
        </w:tc>
        <w:tc>
          <w:tcPr>
            <w:tcW w:w="3849" w:type="dxa"/>
          </w:tcPr>
          <w:p w14:paraId="7FA07A7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7%</w:t>
            </w:r>
          </w:p>
        </w:tc>
      </w:tr>
      <w:tr w:rsidR="008F0F8E" w:rsidRPr="008F0F8E" w14:paraId="357443FD" w14:textId="77777777" w:rsidTr="008F0F8E">
        <w:tc>
          <w:tcPr>
            <w:tcW w:w="1205" w:type="dxa"/>
          </w:tcPr>
          <w:p w14:paraId="1C14C5D8"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Q4 2018</w:t>
            </w:r>
          </w:p>
        </w:tc>
        <w:tc>
          <w:tcPr>
            <w:tcW w:w="3236" w:type="dxa"/>
          </w:tcPr>
          <w:p w14:paraId="63F69E1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w:t>
            </w:r>
          </w:p>
        </w:tc>
        <w:tc>
          <w:tcPr>
            <w:tcW w:w="3849" w:type="dxa"/>
          </w:tcPr>
          <w:p w14:paraId="071B17FF"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12C2C7D7" w14:textId="77777777" w:rsidTr="008F0F8E">
        <w:tc>
          <w:tcPr>
            <w:tcW w:w="1205" w:type="dxa"/>
          </w:tcPr>
          <w:p w14:paraId="48611D26"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Q1 2019</w:t>
            </w:r>
          </w:p>
        </w:tc>
        <w:tc>
          <w:tcPr>
            <w:tcW w:w="3236" w:type="dxa"/>
          </w:tcPr>
          <w:p w14:paraId="50A8054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w:t>
            </w:r>
          </w:p>
        </w:tc>
        <w:tc>
          <w:tcPr>
            <w:tcW w:w="3849" w:type="dxa"/>
          </w:tcPr>
          <w:p w14:paraId="58DF8A2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r>
      <w:tr w:rsidR="008F0F8E" w:rsidRPr="008F0F8E" w14:paraId="431E3CB2" w14:textId="77777777" w:rsidTr="008F0F8E">
        <w:tc>
          <w:tcPr>
            <w:tcW w:w="1205" w:type="dxa"/>
          </w:tcPr>
          <w:p w14:paraId="55795141"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Q2 2019</w:t>
            </w:r>
          </w:p>
        </w:tc>
        <w:tc>
          <w:tcPr>
            <w:tcW w:w="3236" w:type="dxa"/>
          </w:tcPr>
          <w:p w14:paraId="2A2F15C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34%</w:t>
            </w:r>
          </w:p>
        </w:tc>
        <w:tc>
          <w:tcPr>
            <w:tcW w:w="3849" w:type="dxa"/>
          </w:tcPr>
          <w:p w14:paraId="6B62A9F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bl>
    <w:p w14:paraId="7A0B50B4" w14:textId="77777777" w:rsidR="008F0F8E" w:rsidRPr="008F0F8E" w:rsidRDefault="008F0F8E" w:rsidP="008F0F8E">
      <w:pPr>
        <w:rPr>
          <w:rFonts w:ascii="Arial" w:hAnsi="Arial" w:cs="Arial"/>
          <w:color w:val="000000" w:themeColor="text1"/>
          <w:sz w:val="22"/>
          <w:szCs w:val="22"/>
        </w:rPr>
      </w:pPr>
    </w:p>
    <w:p w14:paraId="1F23F3A4" w14:textId="77777777" w:rsidR="008F0F8E" w:rsidRPr="008F0F8E" w:rsidRDefault="008F0F8E" w:rsidP="008F0F8E">
      <w:pPr>
        <w:rPr>
          <w:rFonts w:ascii="Arial" w:hAnsi="Arial" w:cs="Arial"/>
          <w:b/>
          <w:color w:val="000000" w:themeColor="text1"/>
          <w:sz w:val="22"/>
          <w:szCs w:val="22"/>
        </w:rPr>
      </w:pPr>
      <w:r w:rsidRPr="008F0F8E">
        <w:rPr>
          <w:rFonts w:ascii="Arial" w:hAnsi="Arial" w:cs="Arial"/>
          <w:b/>
          <w:color w:val="000000" w:themeColor="text1"/>
          <w:sz w:val="22"/>
          <w:szCs w:val="22"/>
        </w:rPr>
        <w:t>Hotspots where confidence is falling</w:t>
      </w:r>
    </w:p>
    <w:p w14:paraId="4146A3EF" w14:textId="49C4C0EF" w:rsidR="008F0F8E" w:rsidRDefault="008F0F8E" w:rsidP="008F0F8E">
      <w:pPr>
        <w:pStyle w:val="ListParagraph"/>
        <w:numPr>
          <w:ilvl w:val="0"/>
          <w:numId w:val="3"/>
        </w:numPr>
        <w:spacing w:before="120" w:after="120"/>
        <w:jc w:val="both"/>
        <w:rPr>
          <w:rFonts w:ascii="Arial" w:hAnsi="Arial" w:cs="Arial"/>
          <w:color w:val="000000" w:themeColor="text1"/>
          <w:sz w:val="22"/>
          <w:szCs w:val="22"/>
        </w:rPr>
      </w:pPr>
      <w:r w:rsidRPr="008F0F8E">
        <w:rPr>
          <w:rFonts w:ascii="Arial" w:hAnsi="Arial" w:cs="Arial"/>
          <w:b/>
          <w:color w:val="000000" w:themeColor="text1"/>
          <w:sz w:val="22"/>
          <w:szCs w:val="22"/>
        </w:rPr>
        <w:t>Sole traders</w:t>
      </w:r>
      <w:r w:rsidRPr="008F0F8E">
        <w:rPr>
          <w:rFonts w:ascii="Arial" w:hAnsi="Arial" w:cs="Arial"/>
          <w:color w:val="000000" w:themeColor="text1"/>
          <w:sz w:val="22"/>
          <w:szCs w:val="22"/>
        </w:rPr>
        <w:t xml:space="preserve"> were least confident in their business outlook – only 28% predicted net growth for the period to 30 June, compared to 46% for those larger businesses with 10-50 employees. Similarly, sole traders were almost twice as likely to predict contraction than these larger firms (19% Vs. 11%).</w:t>
      </w:r>
    </w:p>
    <w:p w14:paraId="1C2A5B15" w14:textId="77777777" w:rsidR="008F0F8E" w:rsidRPr="008F0F8E" w:rsidRDefault="008F0F8E" w:rsidP="008F0F8E">
      <w:pPr>
        <w:pStyle w:val="ListParagraph"/>
        <w:spacing w:before="120" w:after="120"/>
        <w:jc w:val="both"/>
        <w:rPr>
          <w:rFonts w:ascii="Arial" w:hAnsi="Arial" w:cs="Arial"/>
          <w:color w:val="000000" w:themeColor="text1"/>
          <w:sz w:val="22"/>
          <w:szCs w:val="22"/>
        </w:rPr>
      </w:pPr>
    </w:p>
    <w:p w14:paraId="0048AC52" w14:textId="77777777" w:rsidR="008F0F8E" w:rsidRDefault="008F0F8E" w:rsidP="008F0F8E">
      <w:pPr>
        <w:pStyle w:val="ListParagraph"/>
        <w:numPr>
          <w:ilvl w:val="0"/>
          <w:numId w:val="3"/>
        </w:numPr>
        <w:spacing w:before="120" w:after="120"/>
        <w:jc w:val="both"/>
        <w:rPr>
          <w:rFonts w:ascii="Arial" w:hAnsi="Arial" w:cs="Arial"/>
          <w:color w:val="000000" w:themeColor="text1"/>
          <w:sz w:val="22"/>
          <w:szCs w:val="22"/>
        </w:rPr>
      </w:pPr>
      <w:r w:rsidRPr="008F0F8E">
        <w:rPr>
          <w:rFonts w:ascii="Arial" w:hAnsi="Arial" w:cs="Arial"/>
          <w:b/>
          <w:color w:val="000000" w:themeColor="text1"/>
          <w:sz w:val="22"/>
          <w:szCs w:val="22"/>
        </w:rPr>
        <w:t xml:space="preserve">Transport, agriculture and hospitality </w:t>
      </w:r>
      <w:r w:rsidRPr="008F0F8E">
        <w:rPr>
          <w:rFonts w:ascii="Arial" w:hAnsi="Arial" w:cs="Arial"/>
          <w:color w:val="000000" w:themeColor="text1"/>
          <w:sz w:val="22"/>
          <w:szCs w:val="22"/>
        </w:rPr>
        <w:t>were the sectors where businesses were least likely to predict growth - 25%, 27% and 29% respectively [see note to editors for full table]. Compared to three months ago, the sharpest fall in growth predictions was noted in the Transport/Distribution sector (down 13% to 25%).</w:t>
      </w:r>
    </w:p>
    <w:p w14:paraId="7F078207" w14:textId="77777777" w:rsidR="008F0F8E" w:rsidRPr="008F0F8E" w:rsidRDefault="008F0F8E" w:rsidP="008F0F8E">
      <w:pPr>
        <w:pStyle w:val="ListParagraph"/>
        <w:rPr>
          <w:rFonts w:ascii="Arial" w:hAnsi="Arial" w:cs="Arial"/>
          <w:color w:val="000000" w:themeColor="text1"/>
          <w:sz w:val="22"/>
          <w:szCs w:val="22"/>
        </w:rPr>
      </w:pPr>
    </w:p>
    <w:p w14:paraId="37DD33F1" w14:textId="1627502D" w:rsidR="008F0F8E" w:rsidRDefault="008F0F8E" w:rsidP="008F0F8E">
      <w:pPr>
        <w:pStyle w:val="ListParagraph"/>
        <w:numPr>
          <w:ilvl w:val="0"/>
          <w:numId w:val="3"/>
        </w:numPr>
        <w:spacing w:before="120" w:after="120"/>
        <w:jc w:val="both"/>
        <w:rPr>
          <w:rFonts w:ascii="Arial" w:hAnsi="Arial" w:cs="Arial"/>
          <w:color w:val="000000" w:themeColor="text1"/>
          <w:sz w:val="22"/>
          <w:szCs w:val="22"/>
        </w:rPr>
      </w:pPr>
      <w:r w:rsidRPr="008F0F8E">
        <w:rPr>
          <w:rFonts w:ascii="Arial" w:hAnsi="Arial" w:cs="Arial"/>
          <w:color w:val="000000" w:themeColor="text1"/>
          <w:sz w:val="22"/>
          <w:szCs w:val="22"/>
        </w:rPr>
        <w:t xml:space="preserve">Significant variations were also noted by </w:t>
      </w:r>
      <w:r w:rsidRPr="008F0F8E">
        <w:rPr>
          <w:rFonts w:ascii="Arial" w:hAnsi="Arial" w:cs="Arial"/>
          <w:b/>
          <w:color w:val="000000" w:themeColor="text1"/>
          <w:sz w:val="22"/>
          <w:szCs w:val="22"/>
        </w:rPr>
        <w:t>the age of businesses</w:t>
      </w:r>
      <w:r w:rsidRPr="008F0F8E">
        <w:rPr>
          <w:rFonts w:ascii="Arial" w:hAnsi="Arial" w:cs="Arial"/>
          <w:color w:val="000000" w:themeColor="text1"/>
          <w:sz w:val="22"/>
          <w:szCs w:val="22"/>
        </w:rPr>
        <w:t xml:space="preserve"> surveyed.  Whilst young businesses in their first years of trading were those most confident in their net growth predictions (45%), older businesses that had been trading for 20 or more years were significantly less likely to predict growth (27%). </w:t>
      </w:r>
    </w:p>
    <w:p w14:paraId="71CD4C58" w14:textId="77777777" w:rsidR="008F0F8E" w:rsidRPr="008F0F8E" w:rsidRDefault="008F0F8E" w:rsidP="008F0F8E">
      <w:pPr>
        <w:pStyle w:val="ListParagraph"/>
        <w:rPr>
          <w:rFonts w:ascii="Arial" w:hAnsi="Arial" w:cs="Arial"/>
          <w:color w:val="000000" w:themeColor="text1"/>
          <w:sz w:val="22"/>
          <w:szCs w:val="22"/>
        </w:rPr>
      </w:pPr>
    </w:p>
    <w:p w14:paraId="7D3B94ED" w14:textId="3699047A" w:rsidR="008F0F8E" w:rsidRDefault="008F0F8E" w:rsidP="008F0F8E">
      <w:pPr>
        <w:pStyle w:val="ListParagraph"/>
        <w:spacing w:before="120" w:after="120"/>
        <w:jc w:val="both"/>
        <w:rPr>
          <w:rFonts w:ascii="Arial" w:hAnsi="Arial" w:cs="Arial"/>
          <w:color w:val="000000" w:themeColor="text1"/>
          <w:sz w:val="22"/>
          <w:szCs w:val="22"/>
        </w:rPr>
      </w:pPr>
    </w:p>
    <w:p w14:paraId="274D8334" w14:textId="77777777" w:rsidR="008F0F8E" w:rsidRPr="008F0F8E" w:rsidRDefault="008F0F8E" w:rsidP="008F0F8E">
      <w:pPr>
        <w:pStyle w:val="ListParagraph"/>
        <w:spacing w:before="120" w:after="120"/>
        <w:jc w:val="both"/>
        <w:rPr>
          <w:rFonts w:ascii="Arial" w:hAnsi="Arial" w:cs="Arial"/>
          <w:color w:val="000000" w:themeColor="text1"/>
          <w:sz w:val="22"/>
          <w:szCs w:val="22"/>
        </w:rPr>
      </w:pPr>
    </w:p>
    <w:p w14:paraId="3C1E6D15" w14:textId="63AF3549"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Asked what the barriers to growth where, market uncertainty (31%), unwillingness to embrace risk (17%) volatile cash flow (13%) and the cost of labour (12%) were all key factors. Further, when asked which initiatives small business owners were taking in order to secure future growth, key initiatives mentioned included: keeping fixed costs down (41%), improving cash flow (22%), tackling late payment (28%), expanding into overseas markets (16%) and investing in new equipment (12%).</w:t>
      </w:r>
    </w:p>
    <w:p w14:paraId="539C11BA" w14:textId="77777777" w:rsidR="008F0F8E" w:rsidRPr="008F0F8E" w:rsidRDefault="008F0F8E" w:rsidP="008F0F8E">
      <w:pPr>
        <w:jc w:val="both"/>
        <w:rPr>
          <w:rFonts w:ascii="Arial" w:hAnsi="Arial" w:cs="Arial"/>
          <w:color w:val="000000" w:themeColor="text1"/>
          <w:sz w:val="22"/>
          <w:szCs w:val="22"/>
        </w:rPr>
      </w:pPr>
    </w:p>
    <w:p w14:paraId="764B91DF" w14:textId="2560EF1A"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 xml:space="preserve">On the upside, the north emerged as the country’s engine room for growth, with small businesses in the North West (43%) and the North East (41%) most likely to predict growth – compared to the national average of 34%. In contrast, small businesses in the west were the least confident: Welsh businesses were least confident about the future, closely followed by the South West – 23% and 28% respectively. In only three regions had the growth outlook of small businesses improved since the start of the year. </w:t>
      </w:r>
    </w:p>
    <w:p w14:paraId="12C18CD1" w14:textId="77777777" w:rsidR="008F0F8E" w:rsidRPr="008F0F8E" w:rsidRDefault="008F0F8E" w:rsidP="008F0F8E">
      <w:pPr>
        <w:jc w:val="both"/>
        <w:rPr>
          <w:rFonts w:ascii="Arial" w:hAnsi="Arial" w:cs="Arial"/>
          <w:color w:val="000000" w:themeColor="text1"/>
          <w:sz w:val="22"/>
          <w:szCs w:val="22"/>
        </w:rPr>
      </w:pPr>
    </w:p>
    <w:p w14:paraId="4C2810A5" w14:textId="2643F5A2"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By sector, quite a lot of movement was noted since the start of the year. Despite a January of bleak trading announcements from the high street, the latest Hitachi Capital data reveals a sharp improvement in growth outlook from the retail sector among small businesses (up 9% on Q1 to 40%), with confidence in Real Estate rising by 17% since January. Conversely growth forecasts have fallen most sharply in the Finance/Accounting and Transport/Distribution sectors (falling 9% and 17% respectively).</w:t>
      </w:r>
    </w:p>
    <w:p w14:paraId="18331B2D" w14:textId="77777777" w:rsidR="008F0F8E" w:rsidRPr="008F0F8E" w:rsidRDefault="008F0F8E" w:rsidP="008F0F8E">
      <w:pPr>
        <w:jc w:val="both"/>
        <w:rPr>
          <w:rFonts w:ascii="Arial" w:hAnsi="Arial" w:cs="Arial"/>
          <w:color w:val="000000" w:themeColor="text1"/>
          <w:sz w:val="22"/>
          <w:szCs w:val="22"/>
        </w:rPr>
      </w:pPr>
    </w:p>
    <w:p w14:paraId="381374DD" w14:textId="79600C68" w:rsidR="008F0F8E" w:rsidRDefault="008F0F8E" w:rsidP="008F0F8E">
      <w:pPr>
        <w:jc w:val="both"/>
        <w:rPr>
          <w:rFonts w:ascii="Arial" w:hAnsi="Arial" w:cs="Arial"/>
          <w:color w:val="000000" w:themeColor="text1"/>
          <w:sz w:val="22"/>
          <w:szCs w:val="22"/>
        </w:rPr>
      </w:pPr>
      <w:r w:rsidRPr="008F0F8E">
        <w:rPr>
          <w:rFonts w:ascii="Arial" w:hAnsi="Arial" w:cs="Arial"/>
          <w:b/>
          <w:sz w:val="22"/>
          <w:szCs w:val="22"/>
        </w:rPr>
        <w:t xml:space="preserve">Gavin Wraith-Carter, Managing Director at Hitachi Capital Business Finance </w:t>
      </w:r>
      <w:r w:rsidRPr="008F0F8E">
        <w:rPr>
          <w:rFonts w:ascii="Arial" w:hAnsi="Arial" w:cs="Arial"/>
          <w:sz w:val="22"/>
          <w:szCs w:val="22"/>
        </w:rPr>
        <w:t xml:space="preserve">said: </w:t>
      </w:r>
      <w:r w:rsidRPr="008F0F8E">
        <w:rPr>
          <w:rFonts w:ascii="Arial" w:hAnsi="Arial" w:cs="Arial"/>
          <w:color w:val="000000" w:themeColor="text1"/>
          <w:sz w:val="22"/>
          <w:szCs w:val="22"/>
        </w:rPr>
        <w:t xml:space="preserve">“We are all living through a period of unprecedented uncertainty and, within that context, it is not surprising that small business confidence has taken a knock. It is too early to tell whether this is a short-term </w:t>
      </w:r>
      <w:r>
        <w:rPr>
          <w:rFonts w:ascii="Arial" w:hAnsi="Arial" w:cs="Arial"/>
          <w:color w:val="000000" w:themeColor="text1"/>
          <w:sz w:val="22"/>
          <w:szCs w:val="22"/>
        </w:rPr>
        <w:t>blip</w:t>
      </w:r>
      <w:r w:rsidRPr="008F0F8E">
        <w:rPr>
          <w:rFonts w:ascii="Arial" w:hAnsi="Arial" w:cs="Arial"/>
          <w:color w:val="000000" w:themeColor="text1"/>
          <w:sz w:val="22"/>
          <w:szCs w:val="22"/>
        </w:rPr>
        <w:t xml:space="preserve"> or the start of a trend.”</w:t>
      </w:r>
    </w:p>
    <w:p w14:paraId="3963BA25" w14:textId="77777777" w:rsidR="008F0F8E" w:rsidRPr="008F0F8E" w:rsidRDefault="008F0F8E" w:rsidP="008F0F8E">
      <w:pPr>
        <w:jc w:val="both"/>
        <w:rPr>
          <w:rFonts w:ascii="Arial" w:hAnsi="Arial" w:cs="Arial"/>
          <w:color w:val="000000" w:themeColor="text1"/>
          <w:sz w:val="22"/>
          <w:szCs w:val="22"/>
        </w:rPr>
      </w:pPr>
    </w:p>
    <w:p w14:paraId="5D7723D7" w14:textId="5128A881" w:rsidR="008F0F8E" w:rsidRDefault="008F0F8E" w:rsidP="008F0F8E">
      <w:pPr>
        <w:jc w:val="both"/>
        <w:rPr>
          <w:rFonts w:ascii="Arial" w:hAnsi="Arial" w:cs="Arial"/>
          <w:color w:val="000000" w:themeColor="text1"/>
          <w:sz w:val="22"/>
          <w:szCs w:val="22"/>
        </w:rPr>
      </w:pPr>
      <w:r w:rsidRPr="008F0F8E">
        <w:rPr>
          <w:rFonts w:ascii="Arial" w:hAnsi="Arial" w:cs="Arial"/>
          <w:color w:val="000000" w:themeColor="text1"/>
          <w:sz w:val="22"/>
          <w:szCs w:val="22"/>
        </w:rPr>
        <w:t xml:space="preserve">“The crucial subtext is how small businesses are reacting to how they are feeling. What is encouraging from our research is that whilst around four in five small businesses can identify </w:t>
      </w:r>
      <w:r>
        <w:rPr>
          <w:rFonts w:ascii="Arial" w:hAnsi="Arial" w:cs="Arial"/>
          <w:color w:val="000000" w:themeColor="text1"/>
          <w:sz w:val="22"/>
          <w:szCs w:val="22"/>
        </w:rPr>
        <w:t xml:space="preserve">current </w:t>
      </w:r>
      <w:r w:rsidRPr="008F0F8E">
        <w:rPr>
          <w:rFonts w:ascii="Arial" w:hAnsi="Arial" w:cs="Arial"/>
          <w:color w:val="000000" w:themeColor="text1"/>
          <w:sz w:val="22"/>
          <w:szCs w:val="22"/>
        </w:rPr>
        <w:t>challenges, the vast majority are adapting by making new plans to achieve future growth. Investing in new equipment, expanding into overseas markets and tackling late payment are key issues that small businesses are prioritising to move their businesses forward – and now is a vital time for the banking and specialist finance community to be backing the small businesses that have the ideas, the plans and the passion to see market uncertainty as an opportunity to grow.”</w:t>
      </w:r>
    </w:p>
    <w:p w14:paraId="6FD11FF5" w14:textId="77777777" w:rsidR="008F0F8E" w:rsidRDefault="008F0F8E" w:rsidP="008F0F8E">
      <w:pPr>
        <w:jc w:val="both"/>
        <w:rPr>
          <w:rFonts w:ascii="Arial" w:hAnsi="Arial" w:cs="Arial"/>
          <w:b/>
          <w:sz w:val="22"/>
          <w:szCs w:val="22"/>
        </w:rPr>
      </w:pPr>
    </w:p>
    <w:p w14:paraId="50F9B090" w14:textId="26AA56D0" w:rsidR="008F0F8E" w:rsidRPr="008F0F8E" w:rsidRDefault="008F0F8E" w:rsidP="008F0F8E">
      <w:pPr>
        <w:jc w:val="both"/>
        <w:rPr>
          <w:rFonts w:ascii="Arial" w:hAnsi="Arial" w:cs="Arial"/>
          <w:b/>
          <w:sz w:val="22"/>
          <w:szCs w:val="22"/>
        </w:rPr>
      </w:pPr>
      <w:r w:rsidRPr="008F0F8E">
        <w:rPr>
          <w:rFonts w:ascii="Arial" w:hAnsi="Arial" w:cs="Arial"/>
          <w:b/>
          <w:sz w:val="22"/>
          <w:szCs w:val="22"/>
        </w:rPr>
        <w:t>For more information, to arrange interviews or to register interest for more information on the new Hitachi study contact:</w:t>
      </w:r>
    </w:p>
    <w:p w14:paraId="15F7668C" w14:textId="77777777" w:rsidR="008F0F8E" w:rsidRPr="008F0F8E" w:rsidRDefault="008F0F8E" w:rsidP="008F0F8E">
      <w:pPr>
        <w:jc w:val="both"/>
        <w:rPr>
          <w:rFonts w:ascii="Arial" w:hAnsi="Arial" w:cs="Arial"/>
          <w:sz w:val="22"/>
          <w:szCs w:val="22"/>
        </w:rPr>
      </w:pPr>
      <w:r w:rsidRPr="008F0F8E">
        <w:rPr>
          <w:rFonts w:ascii="Arial" w:hAnsi="Arial" w:cs="Arial"/>
          <w:sz w:val="22"/>
          <w:szCs w:val="22"/>
        </w:rPr>
        <w:t>Guy Bellamy/ Tara Nuttall</w:t>
      </w:r>
    </w:p>
    <w:p w14:paraId="4F25C15B" w14:textId="77777777" w:rsidR="008F0F8E" w:rsidRPr="008F0F8E" w:rsidRDefault="008F0F8E" w:rsidP="008F0F8E">
      <w:pPr>
        <w:jc w:val="both"/>
        <w:rPr>
          <w:rFonts w:ascii="Arial" w:hAnsi="Arial" w:cs="Arial"/>
          <w:sz w:val="22"/>
          <w:szCs w:val="22"/>
        </w:rPr>
      </w:pPr>
      <w:r w:rsidRPr="008F0F8E">
        <w:rPr>
          <w:rFonts w:ascii="Arial" w:hAnsi="Arial" w:cs="Arial"/>
          <w:sz w:val="22"/>
          <w:szCs w:val="22"/>
        </w:rPr>
        <w:t>elephant communications</w:t>
      </w:r>
    </w:p>
    <w:p w14:paraId="7677983F" w14:textId="44C3F543" w:rsidR="008F0F8E" w:rsidRPr="008F0F8E" w:rsidRDefault="008F0F8E" w:rsidP="008F0F8E">
      <w:pPr>
        <w:jc w:val="both"/>
        <w:rPr>
          <w:rFonts w:ascii="Arial" w:hAnsi="Arial" w:cs="Arial"/>
          <w:sz w:val="22"/>
          <w:szCs w:val="22"/>
        </w:rPr>
      </w:pPr>
      <w:r w:rsidRPr="008F0F8E">
        <w:rPr>
          <w:rFonts w:ascii="Arial" w:hAnsi="Arial" w:cs="Arial"/>
          <w:sz w:val="22"/>
          <w:szCs w:val="22"/>
        </w:rPr>
        <w:t>01342 870 142</w:t>
      </w:r>
      <w:r>
        <w:rPr>
          <w:rFonts w:ascii="Arial" w:hAnsi="Arial" w:cs="Arial"/>
          <w:sz w:val="22"/>
          <w:szCs w:val="22"/>
        </w:rPr>
        <w:t xml:space="preserve"> </w:t>
      </w:r>
      <w:r w:rsidRPr="008F0F8E">
        <w:rPr>
          <w:rFonts w:ascii="Arial" w:hAnsi="Arial" w:cs="Arial"/>
          <w:sz w:val="22"/>
          <w:szCs w:val="22"/>
        </w:rPr>
        <w:t>/ 172</w:t>
      </w:r>
    </w:p>
    <w:p w14:paraId="6518A112" w14:textId="77777777" w:rsidR="008F0F8E" w:rsidRPr="008F0F8E" w:rsidRDefault="0033683F" w:rsidP="008F0F8E">
      <w:pPr>
        <w:jc w:val="both"/>
        <w:rPr>
          <w:rStyle w:val="Hyperlink"/>
          <w:rFonts w:ascii="Arial" w:hAnsi="Arial" w:cs="Arial"/>
          <w:color w:val="auto"/>
          <w:sz w:val="22"/>
          <w:szCs w:val="22"/>
        </w:rPr>
      </w:pPr>
      <w:hyperlink r:id="rId9" w:history="1">
        <w:r w:rsidR="008F0F8E" w:rsidRPr="008F0F8E">
          <w:rPr>
            <w:rStyle w:val="Hyperlink"/>
            <w:rFonts w:ascii="Arial" w:hAnsi="Arial" w:cs="Arial"/>
            <w:color w:val="auto"/>
            <w:sz w:val="22"/>
            <w:szCs w:val="22"/>
          </w:rPr>
          <w:t>guy@elephantcommunications.co.uk</w:t>
        </w:r>
      </w:hyperlink>
    </w:p>
    <w:p w14:paraId="7CE816DD" w14:textId="77777777" w:rsidR="008F0F8E" w:rsidRPr="008F0F8E" w:rsidRDefault="0033683F" w:rsidP="008F0F8E">
      <w:pPr>
        <w:jc w:val="both"/>
        <w:rPr>
          <w:rFonts w:ascii="Arial" w:hAnsi="Arial" w:cs="Arial"/>
          <w:sz w:val="22"/>
          <w:szCs w:val="22"/>
        </w:rPr>
      </w:pPr>
      <w:hyperlink r:id="rId10" w:history="1">
        <w:r w:rsidR="008F0F8E" w:rsidRPr="008F0F8E">
          <w:rPr>
            <w:rStyle w:val="Hyperlink"/>
            <w:rFonts w:ascii="Arial" w:hAnsi="Arial" w:cs="Arial"/>
            <w:sz w:val="22"/>
            <w:szCs w:val="22"/>
          </w:rPr>
          <w:t>tara@elephantcommunciations.co.uk</w:t>
        </w:r>
      </w:hyperlink>
    </w:p>
    <w:p w14:paraId="6EC208A1" w14:textId="77777777" w:rsidR="008F0F8E" w:rsidRPr="008F0F8E" w:rsidRDefault="008F0F8E" w:rsidP="008F0F8E">
      <w:pPr>
        <w:jc w:val="both"/>
        <w:rPr>
          <w:rFonts w:ascii="Arial" w:hAnsi="Arial" w:cs="Arial"/>
          <w:sz w:val="22"/>
          <w:szCs w:val="22"/>
        </w:rPr>
      </w:pPr>
    </w:p>
    <w:p w14:paraId="24D1FB81" w14:textId="77777777" w:rsidR="008F0F8E" w:rsidRPr="008F0F8E" w:rsidRDefault="008F0F8E" w:rsidP="008F0F8E">
      <w:pPr>
        <w:jc w:val="both"/>
        <w:rPr>
          <w:rFonts w:ascii="Arial" w:hAnsi="Arial" w:cs="Arial"/>
          <w:sz w:val="22"/>
          <w:szCs w:val="22"/>
        </w:rPr>
      </w:pPr>
      <w:r w:rsidRPr="008F0F8E">
        <w:rPr>
          <w:rFonts w:ascii="Arial" w:hAnsi="Arial" w:cs="Arial"/>
          <w:sz w:val="22"/>
          <w:szCs w:val="22"/>
        </w:rPr>
        <w:t>Small business case studies, audio clips and images are available on request.</w:t>
      </w:r>
    </w:p>
    <w:p w14:paraId="1FD5325C" w14:textId="77777777" w:rsidR="008F0F8E" w:rsidRPr="008F0F8E" w:rsidRDefault="008F0F8E" w:rsidP="008F0F8E">
      <w:pPr>
        <w:jc w:val="both"/>
        <w:rPr>
          <w:rFonts w:ascii="Arial" w:hAnsi="Arial" w:cs="Arial"/>
          <w:color w:val="000000" w:themeColor="text1"/>
          <w:sz w:val="22"/>
          <w:szCs w:val="22"/>
        </w:rPr>
      </w:pPr>
    </w:p>
    <w:p w14:paraId="46C07675" w14:textId="77777777" w:rsidR="008F0F8E" w:rsidRDefault="008F0F8E" w:rsidP="008F0F8E">
      <w:pPr>
        <w:rPr>
          <w:rFonts w:ascii="Arial" w:hAnsi="Arial" w:cs="Arial"/>
          <w:b/>
          <w:color w:val="000000" w:themeColor="text1"/>
          <w:sz w:val="22"/>
          <w:szCs w:val="22"/>
        </w:rPr>
      </w:pPr>
    </w:p>
    <w:p w14:paraId="244F3423" w14:textId="77777777" w:rsidR="008F0F8E" w:rsidRDefault="008F0F8E" w:rsidP="008F0F8E">
      <w:pPr>
        <w:rPr>
          <w:rFonts w:ascii="Arial" w:hAnsi="Arial" w:cs="Arial"/>
          <w:b/>
          <w:color w:val="000000" w:themeColor="text1"/>
          <w:sz w:val="22"/>
          <w:szCs w:val="22"/>
        </w:rPr>
      </w:pPr>
    </w:p>
    <w:p w14:paraId="641B7052" w14:textId="77777777" w:rsidR="008F0F8E" w:rsidRDefault="008F0F8E" w:rsidP="008F0F8E">
      <w:pPr>
        <w:rPr>
          <w:rFonts w:ascii="Arial" w:hAnsi="Arial" w:cs="Arial"/>
          <w:b/>
          <w:color w:val="000000" w:themeColor="text1"/>
          <w:sz w:val="22"/>
          <w:szCs w:val="22"/>
        </w:rPr>
      </w:pPr>
    </w:p>
    <w:p w14:paraId="1E11C6DB" w14:textId="77777777" w:rsidR="008F0F8E" w:rsidRDefault="008F0F8E" w:rsidP="008F0F8E">
      <w:pPr>
        <w:rPr>
          <w:rFonts w:ascii="Arial" w:hAnsi="Arial" w:cs="Arial"/>
          <w:b/>
          <w:color w:val="000000" w:themeColor="text1"/>
          <w:sz w:val="22"/>
          <w:szCs w:val="22"/>
        </w:rPr>
      </w:pPr>
    </w:p>
    <w:p w14:paraId="32A0049F" w14:textId="77777777" w:rsidR="008F0F8E" w:rsidRDefault="008F0F8E" w:rsidP="008F0F8E">
      <w:pPr>
        <w:rPr>
          <w:rFonts w:ascii="Arial" w:hAnsi="Arial" w:cs="Arial"/>
          <w:b/>
          <w:color w:val="000000" w:themeColor="text1"/>
          <w:sz w:val="22"/>
          <w:szCs w:val="22"/>
        </w:rPr>
      </w:pPr>
    </w:p>
    <w:p w14:paraId="474BC7A9" w14:textId="77777777" w:rsidR="008F0F8E" w:rsidRDefault="008F0F8E" w:rsidP="008F0F8E">
      <w:pPr>
        <w:rPr>
          <w:rFonts w:ascii="Arial" w:hAnsi="Arial" w:cs="Arial"/>
          <w:b/>
          <w:color w:val="000000" w:themeColor="text1"/>
          <w:sz w:val="22"/>
          <w:szCs w:val="22"/>
        </w:rPr>
      </w:pPr>
    </w:p>
    <w:p w14:paraId="3EA6DBFA" w14:textId="3FDE1EAE" w:rsidR="008F0F8E" w:rsidRPr="008F0F8E" w:rsidRDefault="008F0F8E" w:rsidP="008F0F8E">
      <w:pPr>
        <w:rPr>
          <w:rFonts w:ascii="Arial" w:hAnsi="Arial" w:cs="Arial"/>
          <w:b/>
          <w:color w:val="000000" w:themeColor="text1"/>
          <w:sz w:val="22"/>
          <w:szCs w:val="22"/>
        </w:rPr>
      </w:pPr>
      <w:r w:rsidRPr="008F0F8E">
        <w:rPr>
          <w:rFonts w:ascii="Arial" w:hAnsi="Arial" w:cs="Arial"/>
          <w:b/>
          <w:color w:val="000000" w:themeColor="text1"/>
          <w:sz w:val="22"/>
          <w:szCs w:val="22"/>
        </w:rPr>
        <w:t>Note to editors</w:t>
      </w:r>
    </w:p>
    <w:p w14:paraId="2251DCBD" w14:textId="4EFD1F02" w:rsidR="008F0F8E" w:rsidRDefault="008F0F8E" w:rsidP="008F0F8E">
      <w:pPr>
        <w:rPr>
          <w:rFonts w:ascii="Arial" w:hAnsi="Arial" w:cs="Arial"/>
          <w:color w:val="000000" w:themeColor="text1"/>
          <w:sz w:val="22"/>
          <w:szCs w:val="22"/>
        </w:rPr>
      </w:pPr>
    </w:p>
    <w:p w14:paraId="51A9F068" w14:textId="40C73B2A" w:rsidR="008F0F8E" w:rsidRDefault="008F0F8E" w:rsidP="008F0F8E">
      <w:pPr>
        <w:jc w:val="center"/>
        <w:rPr>
          <w:rFonts w:ascii="Arial" w:hAnsi="Arial" w:cs="Arial"/>
          <w:b/>
          <w:color w:val="000000" w:themeColor="text1"/>
          <w:sz w:val="22"/>
          <w:szCs w:val="22"/>
        </w:rPr>
      </w:pPr>
      <w:r w:rsidRPr="008F0F8E">
        <w:rPr>
          <w:rFonts w:ascii="Arial" w:hAnsi="Arial" w:cs="Arial"/>
          <w:b/>
          <w:color w:val="000000" w:themeColor="text1"/>
          <w:sz w:val="22"/>
          <w:szCs w:val="22"/>
        </w:rPr>
        <w:t xml:space="preserve">Percentage of small businesses that predict net growth </w:t>
      </w:r>
      <w:r>
        <w:rPr>
          <w:rFonts w:ascii="Arial" w:hAnsi="Arial" w:cs="Arial"/>
          <w:b/>
          <w:color w:val="000000" w:themeColor="text1"/>
          <w:sz w:val="22"/>
          <w:szCs w:val="22"/>
        </w:rPr>
        <w:t xml:space="preserve">to 30 June </w:t>
      </w:r>
      <w:r w:rsidRPr="008F0F8E">
        <w:rPr>
          <w:rFonts w:ascii="Arial" w:hAnsi="Arial" w:cs="Arial"/>
          <w:b/>
          <w:color w:val="000000" w:themeColor="text1"/>
          <w:sz w:val="22"/>
          <w:szCs w:val="22"/>
        </w:rPr>
        <w:t xml:space="preserve">– </w:t>
      </w:r>
      <w:r>
        <w:rPr>
          <w:rFonts w:ascii="Arial" w:hAnsi="Arial" w:cs="Arial"/>
          <w:b/>
          <w:color w:val="000000" w:themeColor="text1"/>
          <w:sz w:val="22"/>
          <w:szCs w:val="22"/>
        </w:rPr>
        <w:t>by region</w:t>
      </w:r>
      <w:r w:rsidR="00F2419F">
        <w:rPr>
          <w:rFonts w:ascii="Arial" w:hAnsi="Arial" w:cs="Arial"/>
          <w:b/>
          <w:color w:val="000000" w:themeColor="text1"/>
          <w:sz w:val="22"/>
          <w:szCs w:val="22"/>
        </w:rPr>
        <w:t>.</w:t>
      </w:r>
    </w:p>
    <w:p w14:paraId="5F9B775A" w14:textId="3E9B482B" w:rsidR="008F0F8E" w:rsidRPr="008F0F8E" w:rsidRDefault="008F0F8E" w:rsidP="008F0F8E">
      <w:pPr>
        <w:jc w:val="center"/>
        <w:rPr>
          <w:rFonts w:ascii="Arial" w:hAnsi="Arial" w:cs="Arial"/>
          <w:b/>
          <w:color w:val="000000" w:themeColor="text1"/>
          <w:sz w:val="22"/>
          <w:szCs w:val="22"/>
        </w:rPr>
      </w:pPr>
      <w:r>
        <w:rPr>
          <w:rFonts w:ascii="Arial" w:hAnsi="Arial" w:cs="Arial"/>
          <w:b/>
          <w:color w:val="000000" w:themeColor="text1"/>
          <w:sz w:val="22"/>
          <w:szCs w:val="22"/>
        </w:rPr>
        <w:t>Comparing Q2 2019 to Q1 2019</w:t>
      </w:r>
    </w:p>
    <w:tbl>
      <w:tblPr>
        <w:tblStyle w:val="TableGrid"/>
        <w:tblW w:w="0" w:type="auto"/>
        <w:tblLook w:val="04A0" w:firstRow="1" w:lastRow="0" w:firstColumn="1" w:lastColumn="0" w:noHBand="0" w:noVBand="1"/>
      </w:tblPr>
      <w:tblGrid>
        <w:gridCol w:w="2772"/>
        <w:gridCol w:w="1478"/>
        <w:gridCol w:w="1476"/>
        <w:gridCol w:w="1358"/>
        <w:gridCol w:w="1432"/>
      </w:tblGrid>
      <w:tr w:rsidR="008F0F8E" w:rsidRPr="008F0F8E" w14:paraId="1EAFFE68" w14:textId="77777777" w:rsidTr="00B45862">
        <w:tc>
          <w:tcPr>
            <w:tcW w:w="2872" w:type="dxa"/>
          </w:tcPr>
          <w:p w14:paraId="398E0D1C" w14:textId="77777777" w:rsidR="008F0F8E" w:rsidRPr="008F0F8E" w:rsidRDefault="008F0F8E" w:rsidP="00B45862">
            <w:pPr>
              <w:rPr>
                <w:rFonts w:ascii="Arial" w:hAnsi="Arial" w:cs="Arial"/>
                <w:color w:val="000000" w:themeColor="text1"/>
                <w:sz w:val="22"/>
                <w:szCs w:val="22"/>
              </w:rPr>
            </w:pPr>
          </w:p>
        </w:tc>
        <w:tc>
          <w:tcPr>
            <w:tcW w:w="1630" w:type="dxa"/>
          </w:tcPr>
          <w:p w14:paraId="1999CBD5"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Q2 2019</w:t>
            </w:r>
          </w:p>
          <w:p w14:paraId="3C2D69FE"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Net: growth</w:t>
            </w:r>
          </w:p>
          <w:p w14:paraId="35481748" w14:textId="77777777" w:rsidR="008F0F8E" w:rsidRPr="00F2419F" w:rsidRDefault="008F0F8E" w:rsidP="00B45862">
            <w:pPr>
              <w:jc w:val="center"/>
              <w:rPr>
                <w:rFonts w:ascii="Arial" w:hAnsi="Arial" w:cs="Arial"/>
                <w:color w:val="000000" w:themeColor="text1"/>
                <w:sz w:val="18"/>
                <w:szCs w:val="18"/>
              </w:rPr>
            </w:pPr>
            <w:r w:rsidRPr="00F2419F">
              <w:rPr>
                <w:rFonts w:ascii="Arial" w:hAnsi="Arial" w:cs="Arial"/>
                <w:color w:val="000000" w:themeColor="text1"/>
                <w:sz w:val="18"/>
                <w:szCs w:val="18"/>
              </w:rPr>
              <w:t>(and variance on Q1)</w:t>
            </w:r>
          </w:p>
        </w:tc>
        <w:tc>
          <w:tcPr>
            <w:tcW w:w="1540" w:type="dxa"/>
          </w:tcPr>
          <w:p w14:paraId="29B1EF1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Q2 2019</w:t>
            </w:r>
          </w:p>
          <w:p w14:paraId="2A2EE9B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Significant expansion</w:t>
            </w:r>
          </w:p>
        </w:tc>
        <w:tc>
          <w:tcPr>
            <w:tcW w:w="1484" w:type="dxa"/>
          </w:tcPr>
          <w:p w14:paraId="64C9554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Q1 2019</w:t>
            </w:r>
          </w:p>
          <w:p w14:paraId="1AD9039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Net: growth</w:t>
            </w:r>
          </w:p>
        </w:tc>
        <w:tc>
          <w:tcPr>
            <w:tcW w:w="1484" w:type="dxa"/>
          </w:tcPr>
          <w:p w14:paraId="126BBBA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Q1 2019</w:t>
            </w:r>
          </w:p>
          <w:p w14:paraId="4A0AE2E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Significant expansion</w:t>
            </w:r>
          </w:p>
        </w:tc>
      </w:tr>
      <w:tr w:rsidR="008F0F8E" w:rsidRPr="008F0F8E" w14:paraId="46B85B28" w14:textId="77777777" w:rsidTr="00B45862">
        <w:tc>
          <w:tcPr>
            <w:tcW w:w="2872" w:type="dxa"/>
          </w:tcPr>
          <w:p w14:paraId="60BF95A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North West</w:t>
            </w:r>
          </w:p>
        </w:tc>
        <w:tc>
          <w:tcPr>
            <w:tcW w:w="1630" w:type="dxa"/>
          </w:tcPr>
          <w:p w14:paraId="30DBFDA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43% (-1)</w:t>
            </w:r>
          </w:p>
        </w:tc>
        <w:tc>
          <w:tcPr>
            <w:tcW w:w="1540" w:type="dxa"/>
          </w:tcPr>
          <w:p w14:paraId="029EEA6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c>
          <w:tcPr>
            <w:tcW w:w="1484" w:type="dxa"/>
          </w:tcPr>
          <w:p w14:paraId="2593392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44%</w:t>
            </w:r>
          </w:p>
        </w:tc>
        <w:tc>
          <w:tcPr>
            <w:tcW w:w="1484" w:type="dxa"/>
          </w:tcPr>
          <w:p w14:paraId="1C0353F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112FFD47" w14:textId="77777777" w:rsidTr="00B45862">
        <w:tc>
          <w:tcPr>
            <w:tcW w:w="2872" w:type="dxa"/>
          </w:tcPr>
          <w:p w14:paraId="298DEB1E"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North East</w:t>
            </w:r>
          </w:p>
        </w:tc>
        <w:tc>
          <w:tcPr>
            <w:tcW w:w="1630" w:type="dxa"/>
          </w:tcPr>
          <w:p w14:paraId="4481B2B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41% (-)</w:t>
            </w:r>
          </w:p>
        </w:tc>
        <w:tc>
          <w:tcPr>
            <w:tcW w:w="1540" w:type="dxa"/>
          </w:tcPr>
          <w:p w14:paraId="3EB207FF"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w:t>
            </w:r>
          </w:p>
        </w:tc>
        <w:tc>
          <w:tcPr>
            <w:tcW w:w="1484" w:type="dxa"/>
          </w:tcPr>
          <w:p w14:paraId="4EE9A29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w:t>
            </w:r>
          </w:p>
        </w:tc>
        <w:tc>
          <w:tcPr>
            <w:tcW w:w="1484" w:type="dxa"/>
          </w:tcPr>
          <w:p w14:paraId="740F7CB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w:t>
            </w:r>
          </w:p>
        </w:tc>
      </w:tr>
      <w:tr w:rsidR="008F0F8E" w:rsidRPr="008F0F8E" w14:paraId="0EA62318" w14:textId="77777777" w:rsidTr="00B45862">
        <w:tc>
          <w:tcPr>
            <w:tcW w:w="2872" w:type="dxa"/>
          </w:tcPr>
          <w:p w14:paraId="7914583E"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West Midlands</w:t>
            </w:r>
          </w:p>
        </w:tc>
        <w:tc>
          <w:tcPr>
            <w:tcW w:w="1630" w:type="dxa"/>
          </w:tcPr>
          <w:p w14:paraId="1C8A3F5B"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38% (+3)</w:t>
            </w:r>
          </w:p>
        </w:tc>
        <w:tc>
          <w:tcPr>
            <w:tcW w:w="1540" w:type="dxa"/>
          </w:tcPr>
          <w:p w14:paraId="7EAD5135"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5A11659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35%</w:t>
            </w:r>
          </w:p>
        </w:tc>
        <w:tc>
          <w:tcPr>
            <w:tcW w:w="1484" w:type="dxa"/>
          </w:tcPr>
          <w:p w14:paraId="6872940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8%</w:t>
            </w:r>
          </w:p>
        </w:tc>
      </w:tr>
      <w:tr w:rsidR="008F0F8E" w:rsidRPr="008F0F8E" w14:paraId="5CEF84A5" w14:textId="77777777" w:rsidTr="00B45862">
        <w:tc>
          <w:tcPr>
            <w:tcW w:w="2872" w:type="dxa"/>
          </w:tcPr>
          <w:p w14:paraId="169D12EF"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East Midlands</w:t>
            </w:r>
          </w:p>
        </w:tc>
        <w:tc>
          <w:tcPr>
            <w:tcW w:w="1630" w:type="dxa"/>
          </w:tcPr>
          <w:p w14:paraId="22EC0BAE"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37% (-5)</w:t>
            </w:r>
          </w:p>
        </w:tc>
        <w:tc>
          <w:tcPr>
            <w:tcW w:w="1540" w:type="dxa"/>
          </w:tcPr>
          <w:p w14:paraId="5488D62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c>
          <w:tcPr>
            <w:tcW w:w="1484" w:type="dxa"/>
          </w:tcPr>
          <w:p w14:paraId="208D262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42%</w:t>
            </w:r>
          </w:p>
        </w:tc>
        <w:tc>
          <w:tcPr>
            <w:tcW w:w="1484" w:type="dxa"/>
          </w:tcPr>
          <w:p w14:paraId="61FDB40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7453B49B" w14:textId="77777777" w:rsidTr="00B45862">
        <w:tc>
          <w:tcPr>
            <w:tcW w:w="2872" w:type="dxa"/>
          </w:tcPr>
          <w:p w14:paraId="6BC0989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Yorkshire/Humberside</w:t>
            </w:r>
          </w:p>
        </w:tc>
        <w:tc>
          <w:tcPr>
            <w:tcW w:w="1630" w:type="dxa"/>
          </w:tcPr>
          <w:p w14:paraId="56A9B85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 (+1)</w:t>
            </w:r>
          </w:p>
        </w:tc>
        <w:tc>
          <w:tcPr>
            <w:tcW w:w="1540" w:type="dxa"/>
          </w:tcPr>
          <w:p w14:paraId="4812789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c>
          <w:tcPr>
            <w:tcW w:w="1484" w:type="dxa"/>
          </w:tcPr>
          <w:p w14:paraId="07A80FA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35%</w:t>
            </w:r>
          </w:p>
        </w:tc>
        <w:tc>
          <w:tcPr>
            <w:tcW w:w="1484" w:type="dxa"/>
          </w:tcPr>
          <w:p w14:paraId="556DE76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r w:rsidR="008F0F8E" w:rsidRPr="008F0F8E" w14:paraId="7D2D62A4" w14:textId="77777777" w:rsidTr="00B45862">
        <w:tc>
          <w:tcPr>
            <w:tcW w:w="2872" w:type="dxa"/>
          </w:tcPr>
          <w:p w14:paraId="4A449C1D"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South East</w:t>
            </w:r>
          </w:p>
        </w:tc>
        <w:tc>
          <w:tcPr>
            <w:tcW w:w="1630" w:type="dxa"/>
          </w:tcPr>
          <w:p w14:paraId="4525DD7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 (-4)</w:t>
            </w:r>
          </w:p>
        </w:tc>
        <w:tc>
          <w:tcPr>
            <w:tcW w:w="1540" w:type="dxa"/>
          </w:tcPr>
          <w:p w14:paraId="58AE5C1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34100F9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40%</w:t>
            </w:r>
          </w:p>
        </w:tc>
        <w:tc>
          <w:tcPr>
            <w:tcW w:w="1484" w:type="dxa"/>
          </w:tcPr>
          <w:p w14:paraId="6731D10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7%</w:t>
            </w:r>
          </w:p>
        </w:tc>
      </w:tr>
      <w:tr w:rsidR="008F0F8E" w:rsidRPr="008F0F8E" w14:paraId="67A6F6A8" w14:textId="77777777" w:rsidTr="00B45862">
        <w:tc>
          <w:tcPr>
            <w:tcW w:w="2872" w:type="dxa"/>
          </w:tcPr>
          <w:p w14:paraId="512E310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London</w:t>
            </w:r>
          </w:p>
        </w:tc>
        <w:tc>
          <w:tcPr>
            <w:tcW w:w="1630" w:type="dxa"/>
          </w:tcPr>
          <w:p w14:paraId="741ABDE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35% (-1)</w:t>
            </w:r>
          </w:p>
        </w:tc>
        <w:tc>
          <w:tcPr>
            <w:tcW w:w="1540" w:type="dxa"/>
          </w:tcPr>
          <w:p w14:paraId="40F4AFF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9%</w:t>
            </w:r>
          </w:p>
        </w:tc>
        <w:tc>
          <w:tcPr>
            <w:tcW w:w="1484" w:type="dxa"/>
          </w:tcPr>
          <w:p w14:paraId="060EAD2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w:t>
            </w:r>
          </w:p>
        </w:tc>
        <w:tc>
          <w:tcPr>
            <w:tcW w:w="1484" w:type="dxa"/>
          </w:tcPr>
          <w:p w14:paraId="7C15B3F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r>
      <w:tr w:rsidR="008F0F8E" w:rsidRPr="008F0F8E" w14:paraId="2B7EF26A" w14:textId="77777777" w:rsidTr="00B45862">
        <w:tc>
          <w:tcPr>
            <w:tcW w:w="2872" w:type="dxa"/>
          </w:tcPr>
          <w:p w14:paraId="0B516DB7"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East of England</w:t>
            </w:r>
          </w:p>
        </w:tc>
        <w:tc>
          <w:tcPr>
            <w:tcW w:w="1630" w:type="dxa"/>
          </w:tcPr>
          <w:p w14:paraId="4DEAC16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33% (+5)</w:t>
            </w:r>
          </w:p>
        </w:tc>
        <w:tc>
          <w:tcPr>
            <w:tcW w:w="1540" w:type="dxa"/>
          </w:tcPr>
          <w:p w14:paraId="420B321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1%</w:t>
            </w:r>
          </w:p>
        </w:tc>
        <w:tc>
          <w:tcPr>
            <w:tcW w:w="1484" w:type="dxa"/>
          </w:tcPr>
          <w:p w14:paraId="428C63E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28%</w:t>
            </w:r>
          </w:p>
        </w:tc>
        <w:tc>
          <w:tcPr>
            <w:tcW w:w="1484" w:type="dxa"/>
          </w:tcPr>
          <w:p w14:paraId="1EE0A74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619C0004" w14:textId="77777777" w:rsidTr="00B45862">
        <w:tc>
          <w:tcPr>
            <w:tcW w:w="2872" w:type="dxa"/>
          </w:tcPr>
          <w:p w14:paraId="4026A44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 xml:space="preserve">Scotland </w:t>
            </w:r>
          </w:p>
        </w:tc>
        <w:tc>
          <w:tcPr>
            <w:tcW w:w="1630" w:type="dxa"/>
          </w:tcPr>
          <w:p w14:paraId="2577F9A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31% (-)</w:t>
            </w:r>
          </w:p>
        </w:tc>
        <w:tc>
          <w:tcPr>
            <w:tcW w:w="1540" w:type="dxa"/>
          </w:tcPr>
          <w:p w14:paraId="06B048D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c>
          <w:tcPr>
            <w:tcW w:w="1484" w:type="dxa"/>
          </w:tcPr>
          <w:p w14:paraId="33E63DA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31%</w:t>
            </w:r>
          </w:p>
        </w:tc>
        <w:tc>
          <w:tcPr>
            <w:tcW w:w="1484" w:type="dxa"/>
          </w:tcPr>
          <w:p w14:paraId="22D85E0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r>
      <w:tr w:rsidR="008F0F8E" w:rsidRPr="008F0F8E" w14:paraId="30AA0455" w14:textId="77777777" w:rsidTr="00B45862">
        <w:tc>
          <w:tcPr>
            <w:tcW w:w="2872" w:type="dxa"/>
          </w:tcPr>
          <w:p w14:paraId="38B9929D"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South West</w:t>
            </w:r>
          </w:p>
        </w:tc>
        <w:tc>
          <w:tcPr>
            <w:tcW w:w="1630" w:type="dxa"/>
          </w:tcPr>
          <w:p w14:paraId="423A5FD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28% (-1)</w:t>
            </w:r>
          </w:p>
        </w:tc>
        <w:tc>
          <w:tcPr>
            <w:tcW w:w="1540" w:type="dxa"/>
          </w:tcPr>
          <w:p w14:paraId="547C580F"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1%</w:t>
            </w:r>
          </w:p>
        </w:tc>
        <w:tc>
          <w:tcPr>
            <w:tcW w:w="1484" w:type="dxa"/>
          </w:tcPr>
          <w:p w14:paraId="414B08D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29%</w:t>
            </w:r>
          </w:p>
        </w:tc>
        <w:tc>
          <w:tcPr>
            <w:tcW w:w="1484" w:type="dxa"/>
          </w:tcPr>
          <w:p w14:paraId="769E442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r w:rsidR="008F0F8E" w:rsidRPr="008F0F8E" w14:paraId="7AD60EB2" w14:textId="77777777" w:rsidTr="00B45862">
        <w:tc>
          <w:tcPr>
            <w:tcW w:w="2872" w:type="dxa"/>
          </w:tcPr>
          <w:p w14:paraId="0574FB23"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Wales</w:t>
            </w:r>
          </w:p>
        </w:tc>
        <w:tc>
          <w:tcPr>
            <w:tcW w:w="1630" w:type="dxa"/>
          </w:tcPr>
          <w:p w14:paraId="73D3216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23% (-7)</w:t>
            </w:r>
          </w:p>
        </w:tc>
        <w:tc>
          <w:tcPr>
            <w:tcW w:w="1540" w:type="dxa"/>
          </w:tcPr>
          <w:p w14:paraId="05B5C61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1%</w:t>
            </w:r>
          </w:p>
        </w:tc>
        <w:tc>
          <w:tcPr>
            <w:tcW w:w="1484" w:type="dxa"/>
          </w:tcPr>
          <w:p w14:paraId="297D071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30%</w:t>
            </w:r>
          </w:p>
        </w:tc>
        <w:tc>
          <w:tcPr>
            <w:tcW w:w="1484" w:type="dxa"/>
          </w:tcPr>
          <w:p w14:paraId="3C85FA0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bl>
    <w:p w14:paraId="00FEC44B" w14:textId="168C71F0" w:rsidR="008F0F8E" w:rsidRDefault="008F0F8E" w:rsidP="008F0F8E">
      <w:pPr>
        <w:rPr>
          <w:rFonts w:ascii="Arial" w:hAnsi="Arial" w:cs="Arial"/>
          <w:color w:val="000000" w:themeColor="text1"/>
          <w:sz w:val="22"/>
          <w:szCs w:val="22"/>
        </w:rPr>
      </w:pPr>
    </w:p>
    <w:p w14:paraId="6BEC3673" w14:textId="3635918D" w:rsidR="008F0F8E" w:rsidRDefault="008F0F8E" w:rsidP="008F0F8E">
      <w:pPr>
        <w:jc w:val="center"/>
        <w:rPr>
          <w:rFonts w:ascii="Arial" w:hAnsi="Arial" w:cs="Arial"/>
          <w:b/>
          <w:color w:val="000000" w:themeColor="text1"/>
          <w:sz w:val="22"/>
          <w:szCs w:val="22"/>
        </w:rPr>
      </w:pPr>
      <w:r w:rsidRPr="008F0F8E">
        <w:rPr>
          <w:rFonts w:ascii="Arial" w:hAnsi="Arial" w:cs="Arial"/>
          <w:b/>
          <w:color w:val="000000" w:themeColor="text1"/>
          <w:sz w:val="22"/>
          <w:szCs w:val="22"/>
        </w:rPr>
        <w:t xml:space="preserve">Percentage of small businesses that predict net growth </w:t>
      </w:r>
      <w:r>
        <w:rPr>
          <w:rFonts w:ascii="Arial" w:hAnsi="Arial" w:cs="Arial"/>
          <w:b/>
          <w:color w:val="000000" w:themeColor="text1"/>
          <w:sz w:val="22"/>
          <w:szCs w:val="22"/>
        </w:rPr>
        <w:t xml:space="preserve">to 30 June </w:t>
      </w:r>
      <w:r w:rsidRPr="008F0F8E">
        <w:rPr>
          <w:rFonts w:ascii="Arial" w:hAnsi="Arial" w:cs="Arial"/>
          <w:b/>
          <w:color w:val="000000" w:themeColor="text1"/>
          <w:sz w:val="22"/>
          <w:szCs w:val="22"/>
        </w:rPr>
        <w:t xml:space="preserve">– </w:t>
      </w:r>
      <w:r>
        <w:rPr>
          <w:rFonts w:ascii="Arial" w:hAnsi="Arial" w:cs="Arial"/>
          <w:b/>
          <w:color w:val="000000" w:themeColor="text1"/>
          <w:sz w:val="22"/>
          <w:szCs w:val="22"/>
        </w:rPr>
        <w:t>by sector</w:t>
      </w:r>
      <w:r w:rsidR="00F2419F">
        <w:rPr>
          <w:rFonts w:ascii="Arial" w:hAnsi="Arial" w:cs="Arial"/>
          <w:b/>
          <w:color w:val="000000" w:themeColor="text1"/>
          <w:sz w:val="22"/>
          <w:szCs w:val="22"/>
        </w:rPr>
        <w:t>.</w:t>
      </w:r>
    </w:p>
    <w:p w14:paraId="48E5BDE2" w14:textId="746DD100" w:rsidR="008F0F8E" w:rsidRPr="008F0F8E" w:rsidRDefault="008F0F8E" w:rsidP="008F0F8E">
      <w:pPr>
        <w:jc w:val="center"/>
        <w:rPr>
          <w:rFonts w:ascii="Arial" w:hAnsi="Arial" w:cs="Arial"/>
          <w:b/>
          <w:color w:val="000000" w:themeColor="text1"/>
          <w:sz w:val="22"/>
          <w:szCs w:val="22"/>
        </w:rPr>
      </w:pPr>
      <w:r>
        <w:rPr>
          <w:rFonts w:ascii="Arial" w:hAnsi="Arial" w:cs="Arial"/>
          <w:b/>
          <w:color w:val="000000" w:themeColor="text1"/>
          <w:sz w:val="22"/>
          <w:szCs w:val="22"/>
        </w:rPr>
        <w:t>Comparing Q2 2019 to Q1 2019</w:t>
      </w:r>
    </w:p>
    <w:tbl>
      <w:tblPr>
        <w:tblStyle w:val="TableGrid"/>
        <w:tblW w:w="0" w:type="auto"/>
        <w:tblLook w:val="04A0" w:firstRow="1" w:lastRow="0" w:firstColumn="1" w:lastColumn="0" w:noHBand="0" w:noVBand="1"/>
      </w:tblPr>
      <w:tblGrid>
        <w:gridCol w:w="2761"/>
        <w:gridCol w:w="1482"/>
        <w:gridCol w:w="1478"/>
        <w:gridCol w:w="1362"/>
        <w:gridCol w:w="1433"/>
      </w:tblGrid>
      <w:tr w:rsidR="008F0F8E" w:rsidRPr="008F0F8E" w14:paraId="554F698B" w14:textId="77777777" w:rsidTr="00B45862">
        <w:tc>
          <w:tcPr>
            <w:tcW w:w="2872" w:type="dxa"/>
          </w:tcPr>
          <w:p w14:paraId="48BD2E03" w14:textId="77777777" w:rsidR="008F0F8E" w:rsidRPr="008F0F8E" w:rsidRDefault="008F0F8E" w:rsidP="00B45862">
            <w:pPr>
              <w:rPr>
                <w:rFonts w:ascii="Arial" w:hAnsi="Arial" w:cs="Arial"/>
                <w:color w:val="000000" w:themeColor="text1"/>
                <w:sz w:val="22"/>
                <w:szCs w:val="22"/>
              </w:rPr>
            </w:pPr>
          </w:p>
        </w:tc>
        <w:tc>
          <w:tcPr>
            <w:tcW w:w="1630" w:type="dxa"/>
          </w:tcPr>
          <w:p w14:paraId="1C9B0ED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Q2 2019</w:t>
            </w:r>
          </w:p>
          <w:p w14:paraId="03954D0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Net: growth</w:t>
            </w:r>
          </w:p>
          <w:p w14:paraId="11B92093" w14:textId="77777777" w:rsidR="008F0F8E" w:rsidRPr="00F2419F" w:rsidRDefault="008F0F8E" w:rsidP="00B45862">
            <w:pPr>
              <w:jc w:val="center"/>
              <w:rPr>
                <w:rFonts w:ascii="Arial" w:hAnsi="Arial" w:cs="Arial"/>
                <w:color w:val="000000" w:themeColor="text1"/>
                <w:sz w:val="18"/>
                <w:szCs w:val="18"/>
              </w:rPr>
            </w:pPr>
            <w:r w:rsidRPr="00F2419F">
              <w:rPr>
                <w:rFonts w:ascii="Arial" w:hAnsi="Arial" w:cs="Arial"/>
                <w:color w:val="000000" w:themeColor="text1"/>
                <w:sz w:val="18"/>
                <w:szCs w:val="18"/>
              </w:rPr>
              <w:t>(and variance on Q1)</w:t>
            </w:r>
          </w:p>
        </w:tc>
        <w:tc>
          <w:tcPr>
            <w:tcW w:w="1540" w:type="dxa"/>
          </w:tcPr>
          <w:p w14:paraId="062353C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Q2 2019</w:t>
            </w:r>
          </w:p>
          <w:p w14:paraId="145127B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Significant expansion</w:t>
            </w:r>
          </w:p>
        </w:tc>
        <w:tc>
          <w:tcPr>
            <w:tcW w:w="1484" w:type="dxa"/>
          </w:tcPr>
          <w:p w14:paraId="086CB8E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Q1 2019</w:t>
            </w:r>
          </w:p>
          <w:p w14:paraId="4DFF06BB"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Net: growth</w:t>
            </w:r>
          </w:p>
        </w:tc>
        <w:tc>
          <w:tcPr>
            <w:tcW w:w="1484" w:type="dxa"/>
          </w:tcPr>
          <w:p w14:paraId="4BB21B56"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Q1 2019</w:t>
            </w:r>
          </w:p>
          <w:p w14:paraId="0ACF7F3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Significant expansion</w:t>
            </w:r>
          </w:p>
        </w:tc>
      </w:tr>
      <w:tr w:rsidR="008F0F8E" w:rsidRPr="008F0F8E" w14:paraId="306F613F" w14:textId="77777777" w:rsidTr="00B45862">
        <w:tc>
          <w:tcPr>
            <w:tcW w:w="2872" w:type="dxa"/>
          </w:tcPr>
          <w:p w14:paraId="6290E52B"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Manufacturing</w:t>
            </w:r>
          </w:p>
        </w:tc>
        <w:tc>
          <w:tcPr>
            <w:tcW w:w="1630" w:type="dxa"/>
          </w:tcPr>
          <w:p w14:paraId="6BB47D2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38% (-4)</w:t>
            </w:r>
          </w:p>
        </w:tc>
        <w:tc>
          <w:tcPr>
            <w:tcW w:w="1540" w:type="dxa"/>
          </w:tcPr>
          <w:p w14:paraId="06316B6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w:t>
            </w:r>
          </w:p>
        </w:tc>
        <w:tc>
          <w:tcPr>
            <w:tcW w:w="1484" w:type="dxa"/>
          </w:tcPr>
          <w:p w14:paraId="30F11C9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42%</w:t>
            </w:r>
          </w:p>
        </w:tc>
        <w:tc>
          <w:tcPr>
            <w:tcW w:w="1484" w:type="dxa"/>
          </w:tcPr>
          <w:p w14:paraId="2CE38B9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9%</w:t>
            </w:r>
          </w:p>
        </w:tc>
      </w:tr>
      <w:tr w:rsidR="008F0F8E" w:rsidRPr="008F0F8E" w14:paraId="150C3FF6" w14:textId="77777777" w:rsidTr="00B45862">
        <w:tc>
          <w:tcPr>
            <w:tcW w:w="2872" w:type="dxa"/>
          </w:tcPr>
          <w:p w14:paraId="3BF2809C"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Construction</w:t>
            </w:r>
          </w:p>
        </w:tc>
        <w:tc>
          <w:tcPr>
            <w:tcW w:w="1630" w:type="dxa"/>
          </w:tcPr>
          <w:p w14:paraId="613CA88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31% (-)</w:t>
            </w:r>
          </w:p>
        </w:tc>
        <w:tc>
          <w:tcPr>
            <w:tcW w:w="1540" w:type="dxa"/>
          </w:tcPr>
          <w:p w14:paraId="6F1A244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c>
          <w:tcPr>
            <w:tcW w:w="1484" w:type="dxa"/>
          </w:tcPr>
          <w:p w14:paraId="58EF6EF8"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31%</w:t>
            </w:r>
          </w:p>
        </w:tc>
        <w:tc>
          <w:tcPr>
            <w:tcW w:w="1484" w:type="dxa"/>
          </w:tcPr>
          <w:p w14:paraId="7481079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r w:rsidR="008F0F8E" w:rsidRPr="008F0F8E" w14:paraId="3F93A8DA" w14:textId="77777777" w:rsidTr="00B45862">
        <w:tc>
          <w:tcPr>
            <w:tcW w:w="2872" w:type="dxa"/>
          </w:tcPr>
          <w:p w14:paraId="11FE84A1"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Retail</w:t>
            </w:r>
          </w:p>
        </w:tc>
        <w:tc>
          <w:tcPr>
            <w:tcW w:w="1630" w:type="dxa"/>
          </w:tcPr>
          <w:p w14:paraId="6C32DA2B"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40% (+9)</w:t>
            </w:r>
          </w:p>
        </w:tc>
        <w:tc>
          <w:tcPr>
            <w:tcW w:w="1540" w:type="dxa"/>
          </w:tcPr>
          <w:p w14:paraId="75E8A0F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w:t>
            </w:r>
          </w:p>
        </w:tc>
        <w:tc>
          <w:tcPr>
            <w:tcW w:w="1484" w:type="dxa"/>
          </w:tcPr>
          <w:p w14:paraId="78746C4F"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31%</w:t>
            </w:r>
          </w:p>
        </w:tc>
        <w:tc>
          <w:tcPr>
            <w:tcW w:w="1484" w:type="dxa"/>
          </w:tcPr>
          <w:p w14:paraId="256C1CA5"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r w:rsidR="008F0F8E" w:rsidRPr="008F0F8E" w14:paraId="512DAA84" w14:textId="77777777" w:rsidTr="00B45862">
        <w:tc>
          <w:tcPr>
            <w:tcW w:w="2872" w:type="dxa"/>
          </w:tcPr>
          <w:p w14:paraId="1EC194E7"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Finance/Accounting</w:t>
            </w:r>
          </w:p>
        </w:tc>
        <w:tc>
          <w:tcPr>
            <w:tcW w:w="1630" w:type="dxa"/>
          </w:tcPr>
          <w:p w14:paraId="037A365E"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33% (-9)</w:t>
            </w:r>
          </w:p>
        </w:tc>
        <w:tc>
          <w:tcPr>
            <w:tcW w:w="1540" w:type="dxa"/>
          </w:tcPr>
          <w:p w14:paraId="02845C7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c>
          <w:tcPr>
            <w:tcW w:w="1484" w:type="dxa"/>
          </w:tcPr>
          <w:p w14:paraId="2ADBEA1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42%</w:t>
            </w:r>
          </w:p>
        </w:tc>
        <w:tc>
          <w:tcPr>
            <w:tcW w:w="1484" w:type="dxa"/>
          </w:tcPr>
          <w:p w14:paraId="51AF67CB"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8%</w:t>
            </w:r>
          </w:p>
        </w:tc>
      </w:tr>
      <w:tr w:rsidR="008F0F8E" w:rsidRPr="008F0F8E" w14:paraId="0D205A63" w14:textId="77777777" w:rsidTr="00B45862">
        <w:tc>
          <w:tcPr>
            <w:tcW w:w="2872" w:type="dxa"/>
          </w:tcPr>
          <w:p w14:paraId="5FF366A3"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Hospitality &amp; Leisure</w:t>
            </w:r>
          </w:p>
        </w:tc>
        <w:tc>
          <w:tcPr>
            <w:tcW w:w="1630" w:type="dxa"/>
          </w:tcPr>
          <w:p w14:paraId="17B56F8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29% (+5)</w:t>
            </w:r>
          </w:p>
        </w:tc>
        <w:tc>
          <w:tcPr>
            <w:tcW w:w="1540" w:type="dxa"/>
          </w:tcPr>
          <w:p w14:paraId="26837E1C"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1D89AE46"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24%</w:t>
            </w:r>
          </w:p>
        </w:tc>
        <w:tc>
          <w:tcPr>
            <w:tcW w:w="1484" w:type="dxa"/>
          </w:tcPr>
          <w:p w14:paraId="45EF6C73"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45DD32BF" w14:textId="77777777" w:rsidTr="00B45862">
        <w:tc>
          <w:tcPr>
            <w:tcW w:w="2872" w:type="dxa"/>
          </w:tcPr>
          <w:p w14:paraId="2D383CF1"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Legal</w:t>
            </w:r>
          </w:p>
        </w:tc>
        <w:tc>
          <w:tcPr>
            <w:tcW w:w="1630" w:type="dxa"/>
          </w:tcPr>
          <w:p w14:paraId="6186AD2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41% (+4)</w:t>
            </w:r>
          </w:p>
        </w:tc>
        <w:tc>
          <w:tcPr>
            <w:tcW w:w="1540" w:type="dxa"/>
          </w:tcPr>
          <w:p w14:paraId="06ACEB6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32CFF0D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37%</w:t>
            </w:r>
          </w:p>
        </w:tc>
        <w:tc>
          <w:tcPr>
            <w:tcW w:w="1484" w:type="dxa"/>
          </w:tcPr>
          <w:p w14:paraId="6E58205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w:t>
            </w:r>
          </w:p>
        </w:tc>
      </w:tr>
      <w:tr w:rsidR="008F0F8E" w:rsidRPr="008F0F8E" w14:paraId="5DFB9DD7" w14:textId="77777777" w:rsidTr="00B45862">
        <w:tc>
          <w:tcPr>
            <w:tcW w:w="2872" w:type="dxa"/>
          </w:tcPr>
          <w:p w14:paraId="51F0A985"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IT/Telecoms</w:t>
            </w:r>
          </w:p>
        </w:tc>
        <w:tc>
          <w:tcPr>
            <w:tcW w:w="1630" w:type="dxa"/>
          </w:tcPr>
          <w:p w14:paraId="18A42EE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38% (-3)</w:t>
            </w:r>
          </w:p>
        </w:tc>
        <w:tc>
          <w:tcPr>
            <w:tcW w:w="1540" w:type="dxa"/>
          </w:tcPr>
          <w:p w14:paraId="6DA7463A"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c>
          <w:tcPr>
            <w:tcW w:w="1484" w:type="dxa"/>
          </w:tcPr>
          <w:p w14:paraId="453E0CC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41%</w:t>
            </w:r>
          </w:p>
        </w:tc>
        <w:tc>
          <w:tcPr>
            <w:tcW w:w="1484" w:type="dxa"/>
          </w:tcPr>
          <w:p w14:paraId="787C920B"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7%</w:t>
            </w:r>
          </w:p>
        </w:tc>
      </w:tr>
      <w:tr w:rsidR="008F0F8E" w:rsidRPr="008F0F8E" w14:paraId="4D004D32" w14:textId="77777777" w:rsidTr="00B45862">
        <w:tc>
          <w:tcPr>
            <w:tcW w:w="2872" w:type="dxa"/>
          </w:tcPr>
          <w:p w14:paraId="18E32609"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Media/Marketing</w:t>
            </w:r>
          </w:p>
        </w:tc>
        <w:tc>
          <w:tcPr>
            <w:tcW w:w="1630" w:type="dxa"/>
          </w:tcPr>
          <w:p w14:paraId="5D36F47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36% (+3)</w:t>
            </w:r>
          </w:p>
        </w:tc>
        <w:tc>
          <w:tcPr>
            <w:tcW w:w="1540" w:type="dxa"/>
          </w:tcPr>
          <w:p w14:paraId="204C96B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353E3056"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33%</w:t>
            </w:r>
          </w:p>
        </w:tc>
        <w:tc>
          <w:tcPr>
            <w:tcW w:w="1484" w:type="dxa"/>
          </w:tcPr>
          <w:p w14:paraId="2DD12EE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1A005107" w14:textId="77777777" w:rsidTr="00B45862">
        <w:tc>
          <w:tcPr>
            <w:tcW w:w="2872" w:type="dxa"/>
          </w:tcPr>
          <w:p w14:paraId="1F9E60BE"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Transport/Distribution</w:t>
            </w:r>
          </w:p>
        </w:tc>
        <w:tc>
          <w:tcPr>
            <w:tcW w:w="1630" w:type="dxa"/>
          </w:tcPr>
          <w:p w14:paraId="19F209E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25% (-13)</w:t>
            </w:r>
          </w:p>
        </w:tc>
        <w:tc>
          <w:tcPr>
            <w:tcW w:w="1540" w:type="dxa"/>
          </w:tcPr>
          <w:p w14:paraId="7571C0B2"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0</w:t>
            </w:r>
          </w:p>
        </w:tc>
        <w:tc>
          <w:tcPr>
            <w:tcW w:w="1484" w:type="dxa"/>
          </w:tcPr>
          <w:p w14:paraId="27FA6334"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38%</w:t>
            </w:r>
          </w:p>
        </w:tc>
        <w:tc>
          <w:tcPr>
            <w:tcW w:w="1484" w:type="dxa"/>
          </w:tcPr>
          <w:p w14:paraId="4BBC832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r w:rsidR="008F0F8E" w:rsidRPr="008F0F8E" w14:paraId="68E219F7" w14:textId="77777777" w:rsidTr="00B45862">
        <w:tc>
          <w:tcPr>
            <w:tcW w:w="2872" w:type="dxa"/>
          </w:tcPr>
          <w:p w14:paraId="19313590"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Real Estate</w:t>
            </w:r>
          </w:p>
        </w:tc>
        <w:tc>
          <w:tcPr>
            <w:tcW w:w="1630" w:type="dxa"/>
          </w:tcPr>
          <w:p w14:paraId="0FE09BC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45% (+17)</w:t>
            </w:r>
          </w:p>
        </w:tc>
        <w:tc>
          <w:tcPr>
            <w:tcW w:w="1540" w:type="dxa"/>
          </w:tcPr>
          <w:p w14:paraId="36C3BE56"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6</w:t>
            </w:r>
          </w:p>
        </w:tc>
        <w:tc>
          <w:tcPr>
            <w:tcW w:w="1484" w:type="dxa"/>
          </w:tcPr>
          <w:p w14:paraId="0E69BBD1"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28%</w:t>
            </w:r>
          </w:p>
        </w:tc>
        <w:tc>
          <w:tcPr>
            <w:tcW w:w="1484" w:type="dxa"/>
          </w:tcPr>
          <w:p w14:paraId="0956FAD9"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4%</w:t>
            </w:r>
          </w:p>
        </w:tc>
      </w:tr>
      <w:tr w:rsidR="008F0F8E" w:rsidRPr="008F0F8E" w14:paraId="5D421A51" w14:textId="77777777" w:rsidTr="00B45862">
        <w:tc>
          <w:tcPr>
            <w:tcW w:w="2872" w:type="dxa"/>
          </w:tcPr>
          <w:p w14:paraId="450B0F58" w14:textId="77777777" w:rsidR="008F0F8E" w:rsidRPr="008F0F8E" w:rsidRDefault="008F0F8E" w:rsidP="00B45862">
            <w:pPr>
              <w:rPr>
                <w:rFonts w:ascii="Arial" w:hAnsi="Arial" w:cs="Arial"/>
                <w:color w:val="000000" w:themeColor="text1"/>
                <w:sz w:val="22"/>
                <w:szCs w:val="22"/>
              </w:rPr>
            </w:pPr>
            <w:r w:rsidRPr="008F0F8E">
              <w:rPr>
                <w:rFonts w:ascii="Arial" w:hAnsi="Arial" w:cs="Arial"/>
                <w:color w:val="000000" w:themeColor="text1"/>
                <w:sz w:val="22"/>
                <w:szCs w:val="22"/>
              </w:rPr>
              <w:t>Agriculture</w:t>
            </w:r>
          </w:p>
        </w:tc>
        <w:tc>
          <w:tcPr>
            <w:tcW w:w="1630" w:type="dxa"/>
          </w:tcPr>
          <w:p w14:paraId="54586B0D"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27% (+3)</w:t>
            </w:r>
          </w:p>
        </w:tc>
        <w:tc>
          <w:tcPr>
            <w:tcW w:w="1540" w:type="dxa"/>
          </w:tcPr>
          <w:p w14:paraId="5F0FA185"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3</w:t>
            </w:r>
          </w:p>
        </w:tc>
        <w:tc>
          <w:tcPr>
            <w:tcW w:w="1484" w:type="dxa"/>
          </w:tcPr>
          <w:p w14:paraId="75B45650"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24%</w:t>
            </w:r>
          </w:p>
        </w:tc>
        <w:tc>
          <w:tcPr>
            <w:tcW w:w="1484" w:type="dxa"/>
          </w:tcPr>
          <w:p w14:paraId="22602397" w14:textId="77777777" w:rsidR="008F0F8E" w:rsidRPr="008F0F8E" w:rsidRDefault="008F0F8E" w:rsidP="00B45862">
            <w:pPr>
              <w:jc w:val="center"/>
              <w:rPr>
                <w:rFonts w:ascii="Arial" w:hAnsi="Arial" w:cs="Arial"/>
                <w:color w:val="000000" w:themeColor="text1"/>
                <w:sz w:val="22"/>
                <w:szCs w:val="22"/>
              </w:rPr>
            </w:pPr>
            <w:r w:rsidRPr="008F0F8E">
              <w:rPr>
                <w:rFonts w:ascii="Arial" w:hAnsi="Arial" w:cs="Arial"/>
                <w:color w:val="000000" w:themeColor="text1"/>
                <w:sz w:val="22"/>
                <w:szCs w:val="22"/>
              </w:rPr>
              <w:t>5%</w:t>
            </w:r>
          </w:p>
        </w:tc>
      </w:tr>
    </w:tbl>
    <w:p w14:paraId="4BF873AF" w14:textId="77777777" w:rsidR="008F0F8E" w:rsidRPr="008F0F8E" w:rsidRDefault="008F0F8E" w:rsidP="008F0F8E">
      <w:pPr>
        <w:rPr>
          <w:rFonts w:ascii="Arial" w:hAnsi="Arial" w:cs="Arial"/>
          <w:color w:val="000000" w:themeColor="text1"/>
          <w:sz w:val="22"/>
          <w:szCs w:val="22"/>
        </w:rPr>
      </w:pPr>
    </w:p>
    <w:p w14:paraId="5F4078DC" w14:textId="77777777" w:rsidR="005C4A05" w:rsidRPr="008F0F8E" w:rsidRDefault="005C4A05" w:rsidP="005C4A05">
      <w:pPr>
        <w:rPr>
          <w:rFonts w:ascii="Arial" w:hAnsi="Arial" w:cs="Arial"/>
          <w:b/>
          <w:sz w:val="22"/>
          <w:szCs w:val="22"/>
        </w:rPr>
      </w:pPr>
      <w:r w:rsidRPr="008F0F8E">
        <w:rPr>
          <w:rFonts w:ascii="Arial" w:hAnsi="Arial" w:cs="Arial"/>
          <w:b/>
          <w:sz w:val="22"/>
          <w:szCs w:val="22"/>
        </w:rPr>
        <w:t>Note to editors</w:t>
      </w:r>
    </w:p>
    <w:p w14:paraId="47697035" w14:textId="0D36F1E3" w:rsidR="005C4A05" w:rsidRPr="008F0F8E" w:rsidRDefault="005C4A05" w:rsidP="005C4A05">
      <w:pPr>
        <w:jc w:val="both"/>
        <w:rPr>
          <w:rFonts w:ascii="Arial" w:hAnsi="Arial" w:cs="Arial"/>
          <w:color w:val="000000" w:themeColor="text1"/>
          <w:sz w:val="22"/>
          <w:szCs w:val="22"/>
        </w:rPr>
      </w:pPr>
      <w:r w:rsidRPr="008F0F8E">
        <w:rPr>
          <w:rFonts w:ascii="Arial" w:hAnsi="Arial" w:cs="Arial"/>
          <w:color w:val="000000" w:themeColor="text1"/>
          <w:sz w:val="22"/>
          <w:szCs w:val="22"/>
        </w:rPr>
        <w:t xml:space="preserve">The research was conducted by YouGov among a representative sample of </w:t>
      </w:r>
      <w:r w:rsidR="00F2419F">
        <w:rPr>
          <w:rFonts w:ascii="Arial" w:hAnsi="Arial" w:cs="Arial"/>
          <w:color w:val="000000" w:themeColor="text1"/>
          <w:sz w:val="22"/>
          <w:szCs w:val="22"/>
        </w:rPr>
        <w:t>1,184</w:t>
      </w:r>
      <w:r w:rsidRPr="008F0F8E">
        <w:rPr>
          <w:rFonts w:ascii="Arial" w:hAnsi="Arial" w:cs="Arial"/>
          <w:color w:val="000000" w:themeColor="text1"/>
          <w:sz w:val="22"/>
          <w:szCs w:val="22"/>
        </w:rPr>
        <w:t xml:space="preserve"> small business decision makes spanning industry sectors. </w:t>
      </w:r>
    </w:p>
    <w:p w14:paraId="33026FDB" w14:textId="77777777" w:rsidR="005C4A05" w:rsidRPr="008F0F8E" w:rsidRDefault="005C4A05" w:rsidP="005C4A05">
      <w:pPr>
        <w:rPr>
          <w:rFonts w:ascii="Arial" w:hAnsi="Arial" w:cs="Arial"/>
          <w:color w:val="000000" w:themeColor="text1"/>
          <w:sz w:val="22"/>
          <w:szCs w:val="22"/>
        </w:rPr>
      </w:pPr>
    </w:p>
    <w:p w14:paraId="7F89ECC9" w14:textId="77777777" w:rsidR="005C4A05" w:rsidRPr="008F0F8E" w:rsidRDefault="005C4A05" w:rsidP="005C4A05">
      <w:pPr>
        <w:jc w:val="both"/>
        <w:rPr>
          <w:rFonts w:ascii="Arial" w:hAnsi="Arial" w:cs="Arial"/>
          <w:b/>
          <w:sz w:val="22"/>
          <w:szCs w:val="22"/>
        </w:rPr>
      </w:pPr>
      <w:r w:rsidRPr="008F0F8E">
        <w:rPr>
          <w:rFonts w:ascii="Arial" w:hAnsi="Arial" w:cs="Arial"/>
          <w:b/>
          <w:sz w:val="22"/>
          <w:szCs w:val="22"/>
        </w:rPr>
        <w:t>Hitachi Capital Business Finance</w:t>
      </w:r>
    </w:p>
    <w:p w14:paraId="694DDF1E" w14:textId="77777777" w:rsidR="005C4A05" w:rsidRPr="008F0F8E" w:rsidRDefault="005C4A05" w:rsidP="005C4A05">
      <w:pPr>
        <w:pStyle w:val="NoSpacing"/>
        <w:jc w:val="both"/>
        <w:rPr>
          <w:rFonts w:ascii="Arial" w:hAnsi="Arial" w:cs="Arial"/>
        </w:rPr>
      </w:pPr>
      <w:r w:rsidRPr="008F0F8E">
        <w:rPr>
          <w:rFonts w:ascii="Arial" w:hAnsi="Arial" w:cs="Arial"/>
        </w:rPr>
        <w:t xml:space="preserve">Hitachi Capital Business Finance, a division of Hitachi Capital (UK) PLC, provides business asset finance to SMEs and bigger corporations across the UK to help them meet their goals and grow. </w:t>
      </w:r>
    </w:p>
    <w:p w14:paraId="6B7564BA" w14:textId="77777777" w:rsidR="005C4A05" w:rsidRPr="008F0F8E" w:rsidRDefault="005C4A05" w:rsidP="005C4A05">
      <w:pPr>
        <w:pStyle w:val="NoSpacing"/>
        <w:jc w:val="both"/>
        <w:rPr>
          <w:rFonts w:ascii="Arial" w:hAnsi="Arial" w:cs="Arial"/>
        </w:rPr>
      </w:pPr>
    </w:p>
    <w:p w14:paraId="11A623D1" w14:textId="77777777" w:rsidR="005C4A05" w:rsidRPr="008F0F8E" w:rsidRDefault="005C4A05" w:rsidP="005C4A05">
      <w:pPr>
        <w:pStyle w:val="NoSpacing"/>
        <w:jc w:val="both"/>
        <w:rPr>
          <w:rFonts w:ascii="Arial" w:hAnsi="Arial" w:cs="Arial"/>
        </w:rPr>
      </w:pPr>
      <w:r w:rsidRPr="008F0F8E">
        <w:rPr>
          <w:rFonts w:ascii="Arial" w:hAnsi="Arial" w:cs="Arial"/>
        </w:rPr>
        <w:t xml:space="preserve">With an asset portfolio of more than £1bn, the business is active across multiple sectors such as transport, agriculture, construction, manufacturing, materials handling and financial services providers. </w:t>
      </w:r>
    </w:p>
    <w:p w14:paraId="2DB8C04D" w14:textId="77777777" w:rsidR="005C4A05" w:rsidRPr="008F0F8E" w:rsidRDefault="005C4A05" w:rsidP="005C4A05">
      <w:pPr>
        <w:pStyle w:val="NoSpacing"/>
        <w:jc w:val="both"/>
        <w:rPr>
          <w:rFonts w:ascii="Arial" w:hAnsi="Arial" w:cs="Arial"/>
        </w:rPr>
      </w:pPr>
    </w:p>
    <w:p w14:paraId="23B6065E" w14:textId="77777777" w:rsidR="005C4A05" w:rsidRPr="008F0F8E" w:rsidRDefault="005C4A05" w:rsidP="005C4A05">
      <w:pPr>
        <w:pStyle w:val="NoSpacing"/>
        <w:jc w:val="both"/>
        <w:rPr>
          <w:rFonts w:ascii="Arial" w:hAnsi="Arial" w:cs="Arial"/>
        </w:rPr>
      </w:pPr>
      <w:r w:rsidRPr="008F0F8E">
        <w:rPr>
          <w:rFonts w:ascii="Arial" w:hAnsi="Arial" w:cs="Arial"/>
        </w:rPr>
        <w:lastRenderedPageBreak/>
        <w:t xml:space="preserve">Business finance products including hire purchase, finance lease solutions, stocking and block discounting are provided through brokers, vendor organisations, manufacturers and direct to the business community.  </w:t>
      </w:r>
    </w:p>
    <w:p w14:paraId="191F0710" w14:textId="77777777" w:rsidR="005C4A05" w:rsidRPr="008F0F8E" w:rsidRDefault="005C4A05" w:rsidP="005C4A05">
      <w:pPr>
        <w:autoSpaceDE w:val="0"/>
        <w:autoSpaceDN w:val="0"/>
        <w:adjustRightInd w:val="0"/>
        <w:jc w:val="both"/>
        <w:rPr>
          <w:rFonts w:ascii="Arial" w:eastAsia="MS Mincho" w:hAnsi="Arial" w:cs="Arial"/>
          <w:b/>
          <w:color w:val="000000" w:themeColor="text1"/>
          <w:sz w:val="22"/>
          <w:szCs w:val="22"/>
          <w:lang w:eastAsia="de-DE"/>
        </w:rPr>
      </w:pPr>
    </w:p>
    <w:p w14:paraId="565EAC28" w14:textId="77777777" w:rsidR="005C4A05" w:rsidRPr="008F0F8E" w:rsidRDefault="005C4A05" w:rsidP="005C4A05">
      <w:pPr>
        <w:jc w:val="both"/>
        <w:rPr>
          <w:rFonts w:ascii="Arial" w:hAnsi="Arial" w:cs="Arial"/>
          <w:b/>
          <w:bCs/>
          <w:sz w:val="22"/>
          <w:szCs w:val="22"/>
        </w:rPr>
      </w:pPr>
      <w:r w:rsidRPr="008F0F8E">
        <w:rPr>
          <w:rFonts w:ascii="Arial" w:hAnsi="Arial" w:cs="Arial"/>
          <w:b/>
          <w:bCs/>
          <w:sz w:val="22"/>
          <w:szCs w:val="22"/>
        </w:rPr>
        <w:t>About Hitachi Capital (UK) PLC</w:t>
      </w:r>
    </w:p>
    <w:p w14:paraId="08FF4EFB" w14:textId="77777777" w:rsidR="005C4A05" w:rsidRPr="008F0F8E" w:rsidRDefault="005C4A05" w:rsidP="005C4A05">
      <w:pPr>
        <w:jc w:val="both"/>
        <w:rPr>
          <w:rFonts w:ascii="Arial" w:hAnsi="Arial" w:cs="Arial"/>
          <w:sz w:val="22"/>
          <w:szCs w:val="22"/>
        </w:rPr>
      </w:pPr>
      <w:r w:rsidRPr="008F0F8E">
        <w:rPr>
          <w:rFonts w:ascii="Arial" w:hAnsi="Arial" w:cs="Arial"/>
          <w:sz w:val="22"/>
          <w:szCs w:val="22"/>
        </w:rPr>
        <w:t xml:space="preserve">Hitachi Capital (UK) PLC is a leading financial services company with over 35 years’ experience in providing innovative finance solutions to enable consumers, SMEs, fleet owners, motor dealers and retailers to grow and prosper. Hitachi Capital  (UK) PLC has over 1,200 employees, £4.8bn of net earning assets and over 1.2 million customers across its five business units; Consumer Finance, Vehicle Solutions, Business Finance, Invoice Finance and European Vendor Solutions. </w:t>
      </w:r>
    </w:p>
    <w:p w14:paraId="45859B7F" w14:textId="77777777" w:rsidR="005C4A05" w:rsidRPr="008F0F8E" w:rsidRDefault="005C4A05" w:rsidP="005C4A05">
      <w:pPr>
        <w:jc w:val="both"/>
        <w:rPr>
          <w:rFonts w:ascii="Arial" w:hAnsi="Arial" w:cs="Arial"/>
          <w:sz w:val="22"/>
          <w:szCs w:val="22"/>
        </w:rPr>
      </w:pPr>
    </w:p>
    <w:p w14:paraId="31AB2656" w14:textId="77777777" w:rsidR="005C4A05" w:rsidRPr="008F0F8E" w:rsidRDefault="005C4A05" w:rsidP="005C4A05">
      <w:pPr>
        <w:jc w:val="both"/>
        <w:rPr>
          <w:rFonts w:ascii="Arial" w:hAnsi="Arial" w:cs="Arial"/>
          <w:sz w:val="22"/>
          <w:szCs w:val="22"/>
        </w:rPr>
      </w:pPr>
      <w:r w:rsidRPr="008F0F8E">
        <w:rPr>
          <w:rFonts w:ascii="Arial" w:hAnsi="Arial" w:cs="Arial"/>
          <w:sz w:val="22"/>
          <w:szCs w:val="22"/>
        </w:rPr>
        <w:t>Hitachi Capital (UK) PLC is a wholly owned subsidiary of Hitachi Capital Corporation, one of Japan’s largest non-bank financial institutions. Hitachi Capital Corporation is an affiliate of both Hitachi Ltd, a world leader for manufacturing and technology, and Mitsubishi UFJ Financial Group Inc. Manufacturing continues to be a key part of Hitachi Capital (UK) PLC’s DNA, delivering complex products to high levels of customer satisfaction. Its corporate clients include some of the UK’s leading companies such as British Gas, Royal Bank of Scotland, B&amp;Q and John Lewis.</w:t>
      </w:r>
    </w:p>
    <w:p w14:paraId="0DEA8ADC" w14:textId="77777777" w:rsidR="005C4A05" w:rsidRPr="008F0F8E" w:rsidRDefault="005C4A05" w:rsidP="005C4A05">
      <w:pPr>
        <w:jc w:val="both"/>
        <w:rPr>
          <w:rFonts w:ascii="Arial" w:hAnsi="Arial" w:cs="Arial"/>
          <w:sz w:val="22"/>
          <w:szCs w:val="22"/>
        </w:rPr>
      </w:pPr>
    </w:p>
    <w:p w14:paraId="79DDD6AF" w14:textId="77777777" w:rsidR="005C4A05" w:rsidRPr="008F0F8E" w:rsidRDefault="005C4A05" w:rsidP="005C4A05">
      <w:pPr>
        <w:rPr>
          <w:rFonts w:ascii="Arial" w:hAnsi="Arial" w:cs="Arial"/>
          <w:sz w:val="22"/>
          <w:szCs w:val="22"/>
        </w:rPr>
      </w:pPr>
    </w:p>
    <w:p w14:paraId="4E8203B1" w14:textId="77777777" w:rsidR="005C4A05" w:rsidRPr="008F0F8E" w:rsidRDefault="005C4A05" w:rsidP="005C4A05">
      <w:pPr>
        <w:jc w:val="center"/>
        <w:rPr>
          <w:rFonts w:ascii="Arial" w:hAnsi="Arial" w:cs="Arial"/>
          <w:sz w:val="22"/>
          <w:szCs w:val="22"/>
        </w:rPr>
      </w:pPr>
      <w:r w:rsidRPr="008F0F8E">
        <w:rPr>
          <w:rFonts w:ascii="Arial" w:hAnsi="Arial" w:cs="Arial"/>
          <w:sz w:val="22"/>
          <w:szCs w:val="22"/>
        </w:rPr>
        <w:t>-ENDS-</w:t>
      </w:r>
    </w:p>
    <w:p w14:paraId="762ABEF8" w14:textId="6B8DCD12" w:rsidR="00D01299" w:rsidRPr="008F0F8E" w:rsidRDefault="00D01299" w:rsidP="00871371">
      <w:pPr>
        <w:jc w:val="both"/>
        <w:rPr>
          <w:rFonts w:ascii="Arial" w:hAnsi="Arial" w:cs="Arial"/>
          <w:sz w:val="22"/>
          <w:szCs w:val="22"/>
        </w:rPr>
      </w:pPr>
    </w:p>
    <w:sectPr w:rsidR="00D01299" w:rsidRPr="008F0F8E" w:rsidSect="008C2897">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F1BA3" w14:textId="77777777" w:rsidR="001E3909" w:rsidRDefault="001E3909" w:rsidP="00FE3EB7">
      <w:r>
        <w:separator/>
      </w:r>
    </w:p>
  </w:endnote>
  <w:endnote w:type="continuationSeparator" w:id="0">
    <w:p w14:paraId="2EE9AFCD" w14:textId="77777777" w:rsidR="001E3909" w:rsidRDefault="001E3909" w:rsidP="00F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9CE1" w14:textId="77777777" w:rsidR="001E3909" w:rsidRDefault="001E3909" w:rsidP="00FE3EB7">
      <w:r>
        <w:separator/>
      </w:r>
    </w:p>
  </w:footnote>
  <w:footnote w:type="continuationSeparator" w:id="0">
    <w:p w14:paraId="393B8AE5" w14:textId="77777777" w:rsidR="001E3909" w:rsidRDefault="001E3909" w:rsidP="00FE3E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4ADBF" w14:textId="77777777" w:rsidR="00D93E06" w:rsidRDefault="00D93E06">
    <w:pPr>
      <w:pStyle w:val="Header"/>
    </w:pPr>
    <w:r>
      <w:rPr>
        <w:noProof/>
        <w:lang w:val="en-US"/>
      </w:rPr>
      <w:drawing>
        <wp:anchor distT="0" distB="0" distL="114300" distR="114300" simplePos="0" relativeHeight="251659264" behindDoc="0" locked="0" layoutInCell="0" allowOverlap="1" wp14:anchorId="126C3308" wp14:editId="5BEE7540">
          <wp:simplePos x="0" y="0"/>
          <wp:positionH relativeFrom="page">
            <wp:posOffset>5220970</wp:posOffset>
          </wp:positionH>
          <wp:positionV relativeFrom="page">
            <wp:posOffset>288290</wp:posOffset>
          </wp:positionV>
          <wp:extent cx="2051050" cy="574675"/>
          <wp:effectExtent l="0" t="0" r="6350" b="9525"/>
          <wp:wrapThrough wrapText="bothSides">
            <wp:wrapPolygon edited="0">
              <wp:start x="0" y="0"/>
              <wp:lineTo x="0" y="21003"/>
              <wp:lineTo x="21399" y="21003"/>
              <wp:lineTo x="21399" y="0"/>
              <wp:lineTo x="0" y="0"/>
            </wp:wrapPolygon>
          </wp:wrapThrough>
          <wp:docPr id="1" name="Picture 1" descr="Cs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log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574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3DE8"/>
    <w:multiLevelType w:val="hybridMultilevel"/>
    <w:tmpl w:val="AA2E58A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45B859FC"/>
    <w:multiLevelType w:val="hybridMultilevel"/>
    <w:tmpl w:val="A624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40C0A"/>
    <w:multiLevelType w:val="hybridMultilevel"/>
    <w:tmpl w:val="2D882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EB7"/>
    <w:rsid w:val="000320ED"/>
    <w:rsid w:val="00057190"/>
    <w:rsid w:val="0006008F"/>
    <w:rsid w:val="00086C82"/>
    <w:rsid w:val="000B6056"/>
    <w:rsid w:val="00116734"/>
    <w:rsid w:val="00162918"/>
    <w:rsid w:val="001B552C"/>
    <w:rsid w:val="001E3909"/>
    <w:rsid w:val="002325CB"/>
    <w:rsid w:val="002373C2"/>
    <w:rsid w:val="00281C52"/>
    <w:rsid w:val="002F0169"/>
    <w:rsid w:val="0030113A"/>
    <w:rsid w:val="0033683F"/>
    <w:rsid w:val="003B3D7E"/>
    <w:rsid w:val="003F4E9B"/>
    <w:rsid w:val="004F5C54"/>
    <w:rsid w:val="005131BE"/>
    <w:rsid w:val="005A12E1"/>
    <w:rsid w:val="005C4A05"/>
    <w:rsid w:val="005F088B"/>
    <w:rsid w:val="00663E9C"/>
    <w:rsid w:val="006958BE"/>
    <w:rsid w:val="00705D3D"/>
    <w:rsid w:val="007153FB"/>
    <w:rsid w:val="007F1BD8"/>
    <w:rsid w:val="0081341E"/>
    <w:rsid w:val="00865022"/>
    <w:rsid w:val="00871371"/>
    <w:rsid w:val="008C2897"/>
    <w:rsid w:val="008F0F8E"/>
    <w:rsid w:val="00941592"/>
    <w:rsid w:val="00973056"/>
    <w:rsid w:val="00975DF4"/>
    <w:rsid w:val="00A535B2"/>
    <w:rsid w:val="00AC6A28"/>
    <w:rsid w:val="00AD7AFA"/>
    <w:rsid w:val="00C20FCD"/>
    <w:rsid w:val="00C55C8B"/>
    <w:rsid w:val="00CB5847"/>
    <w:rsid w:val="00CC1042"/>
    <w:rsid w:val="00D01299"/>
    <w:rsid w:val="00D02CD4"/>
    <w:rsid w:val="00D53DF1"/>
    <w:rsid w:val="00D93E06"/>
    <w:rsid w:val="00DD38CA"/>
    <w:rsid w:val="00DE0821"/>
    <w:rsid w:val="00E03DBD"/>
    <w:rsid w:val="00E2179B"/>
    <w:rsid w:val="00F2419F"/>
    <w:rsid w:val="00F37E5C"/>
    <w:rsid w:val="00F65569"/>
    <w:rsid w:val="00FE3E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83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3EB7"/>
  </w:style>
  <w:style w:type="character" w:customStyle="1" w:styleId="FootnoteTextChar">
    <w:name w:val="Footnote Text Char"/>
    <w:basedOn w:val="DefaultParagraphFont"/>
    <w:link w:val="FootnoteText"/>
    <w:uiPriority w:val="99"/>
    <w:rsid w:val="00FE3EB7"/>
  </w:style>
  <w:style w:type="character" w:styleId="FootnoteReference">
    <w:name w:val="footnote reference"/>
    <w:basedOn w:val="DefaultParagraphFont"/>
    <w:uiPriority w:val="99"/>
    <w:unhideWhenUsed/>
    <w:rsid w:val="00FE3EB7"/>
    <w:rPr>
      <w:vertAlign w:val="superscript"/>
    </w:rPr>
  </w:style>
  <w:style w:type="table" w:styleId="TableGrid">
    <w:name w:val="Table Grid"/>
    <w:basedOn w:val="TableNormal"/>
    <w:uiPriority w:val="59"/>
    <w:rsid w:val="00E03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022"/>
    <w:pPr>
      <w:ind w:left="720"/>
      <w:contextualSpacing/>
    </w:pPr>
  </w:style>
  <w:style w:type="paragraph" w:styleId="Header">
    <w:name w:val="header"/>
    <w:basedOn w:val="Normal"/>
    <w:link w:val="HeaderChar"/>
    <w:uiPriority w:val="99"/>
    <w:unhideWhenUsed/>
    <w:rsid w:val="002373C2"/>
    <w:pPr>
      <w:tabs>
        <w:tab w:val="center" w:pos="4320"/>
        <w:tab w:val="right" w:pos="8640"/>
      </w:tabs>
    </w:pPr>
  </w:style>
  <w:style w:type="character" w:customStyle="1" w:styleId="HeaderChar">
    <w:name w:val="Header Char"/>
    <w:basedOn w:val="DefaultParagraphFont"/>
    <w:link w:val="Header"/>
    <w:uiPriority w:val="99"/>
    <w:rsid w:val="002373C2"/>
  </w:style>
  <w:style w:type="paragraph" w:styleId="Footer">
    <w:name w:val="footer"/>
    <w:basedOn w:val="Normal"/>
    <w:link w:val="FooterChar"/>
    <w:uiPriority w:val="99"/>
    <w:unhideWhenUsed/>
    <w:rsid w:val="002373C2"/>
    <w:pPr>
      <w:tabs>
        <w:tab w:val="center" w:pos="4320"/>
        <w:tab w:val="right" w:pos="8640"/>
      </w:tabs>
    </w:pPr>
  </w:style>
  <w:style w:type="character" w:customStyle="1" w:styleId="FooterChar">
    <w:name w:val="Footer Char"/>
    <w:basedOn w:val="DefaultParagraphFont"/>
    <w:link w:val="Footer"/>
    <w:uiPriority w:val="99"/>
    <w:rsid w:val="002373C2"/>
  </w:style>
  <w:style w:type="character" w:styleId="Hyperlink">
    <w:name w:val="Hyperlink"/>
    <w:uiPriority w:val="99"/>
    <w:unhideWhenUsed/>
    <w:rsid w:val="002373C2"/>
    <w:rPr>
      <w:color w:val="0000FF"/>
      <w:u w:val="single"/>
    </w:rPr>
  </w:style>
  <w:style w:type="character" w:customStyle="1" w:styleId="UnresolvedMention">
    <w:name w:val="Unresolved Mention"/>
    <w:basedOn w:val="DefaultParagraphFont"/>
    <w:uiPriority w:val="99"/>
    <w:semiHidden/>
    <w:unhideWhenUsed/>
    <w:rsid w:val="00D01299"/>
    <w:rPr>
      <w:color w:val="605E5C"/>
      <w:shd w:val="clear" w:color="auto" w:fill="E1DFDD"/>
    </w:rPr>
  </w:style>
  <w:style w:type="paragraph" w:styleId="NoSpacing">
    <w:name w:val="No Spacing"/>
    <w:uiPriority w:val="1"/>
    <w:qFormat/>
    <w:rsid w:val="005C4A05"/>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3EB7"/>
  </w:style>
  <w:style w:type="character" w:customStyle="1" w:styleId="FootnoteTextChar">
    <w:name w:val="Footnote Text Char"/>
    <w:basedOn w:val="DefaultParagraphFont"/>
    <w:link w:val="FootnoteText"/>
    <w:uiPriority w:val="99"/>
    <w:rsid w:val="00FE3EB7"/>
  </w:style>
  <w:style w:type="character" w:styleId="FootnoteReference">
    <w:name w:val="footnote reference"/>
    <w:basedOn w:val="DefaultParagraphFont"/>
    <w:uiPriority w:val="99"/>
    <w:unhideWhenUsed/>
    <w:rsid w:val="00FE3EB7"/>
    <w:rPr>
      <w:vertAlign w:val="superscript"/>
    </w:rPr>
  </w:style>
  <w:style w:type="table" w:styleId="TableGrid">
    <w:name w:val="Table Grid"/>
    <w:basedOn w:val="TableNormal"/>
    <w:uiPriority w:val="59"/>
    <w:rsid w:val="00E03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5022"/>
    <w:pPr>
      <w:ind w:left="720"/>
      <w:contextualSpacing/>
    </w:pPr>
  </w:style>
  <w:style w:type="paragraph" w:styleId="Header">
    <w:name w:val="header"/>
    <w:basedOn w:val="Normal"/>
    <w:link w:val="HeaderChar"/>
    <w:uiPriority w:val="99"/>
    <w:unhideWhenUsed/>
    <w:rsid w:val="002373C2"/>
    <w:pPr>
      <w:tabs>
        <w:tab w:val="center" w:pos="4320"/>
        <w:tab w:val="right" w:pos="8640"/>
      </w:tabs>
    </w:pPr>
  </w:style>
  <w:style w:type="character" w:customStyle="1" w:styleId="HeaderChar">
    <w:name w:val="Header Char"/>
    <w:basedOn w:val="DefaultParagraphFont"/>
    <w:link w:val="Header"/>
    <w:uiPriority w:val="99"/>
    <w:rsid w:val="002373C2"/>
  </w:style>
  <w:style w:type="paragraph" w:styleId="Footer">
    <w:name w:val="footer"/>
    <w:basedOn w:val="Normal"/>
    <w:link w:val="FooterChar"/>
    <w:uiPriority w:val="99"/>
    <w:unhideWhenUsed/>
    <w:rsid w:val="002373C2"/>
    <w:pPr>
      <w:tabs>
        <w:tab w:val="center" w:pos="4320"/>
        <w:tab w:val="right" w:pos="8640"/>
      </w:tabs>
    </w:pPr>
  </w:style>
  <w:style w:type="character" w:customStyle="1" w:styleId="FooterChar">
    <w:name w:val="Footer Char"/>
    <w:basedOn w:val="DefaultParagraphFont"/>
    <w:link w:val="Footer"/>
    <w:uiPriority w:val="99"/>
    <w:rsid w:val="002373C2"/>
  </w:style>
  <w:style w:type="character" w:styleId="Hyperlink">
    <w:name w:val="Hyperlink"/>
    <w:uiPriority w:val="99"/>
    <w:unhideWhenUsed/>
    <w:rsid w:val="002373C2"/>
    <w:rPr>
      <w:color w:val="0000FF"/>
      <w:u w:val="single"/>
    </w:rPr>
  </w:style>
  <w:style w:type="character" w:customStyle="1" w:styleId="UnresolvedMention">
    <w:name w:val="Unresolved Mention"/>
    <w:basedOn w:val="DefaultParagraphFont"/>
    <w:uiPriority w:val="99"/>
    <w:semiHidden/>
    <w:unhideWhenUsed/>
    <w:rsid w:val="00D01299"/>
    <w:rPr>
      <w:color w:val="605E5C"/>
      <w:shd w:val="clear" w:color="auto" w:fill="E1DFDD"/>
    </w:rPr>
  </w:style>
  <w:style w:type="paragraph" w:styleId="NoSpacing">
    <w:name w:val="No Spacing"/>
    <w:uiPriority w:val="1"/>
    <w:qFormat/>
    <w:rsid w:val="005C4A05"/>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uy@elephantcommunications.co.uk" TargetMode="External"/><Relationship Id="rId10" Type="http://schemas.openxmlformats.org/officeDocument/2006/relationships/hyperlink" Target="mailto:tara@elephantcommunciatio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C845-2A99-7D45-BE7C-709FF930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1252</Words>
  <Characters>7143</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Workstation3</dc:creator>
  <cp:keywords/>
  <dc:description/>
  <cp:lastModifiedBy>Workstation3</cp:lastModifiedBy>
  <cp:revision>3</cp:revision>
  <cp:lastPrinted>2019-05-03T13:22:00Z</cp:lastPrinted>
  <dcterms:created xsi:type="dcterms:W3CDTF">2019-05-21T09:23:00Z</dcterms:created>
  <dcterms:modified xsi:type="dcterms:W3CDTF">2019-05-29T08:27:00Z</dcterms:modified>
</cp:coreProperties>
</file>