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3463" w14:textId="2A7109A0" w:rsidR="00466E9B" w:rsidRDefault="00466E9B" w:rsidP="00466E9B">
      <w:pPr>
        <w:jc w:val="center"/>
        <w:rPr>
          <w:rFonts w:ascii="Arial" w:hAnsi="Arial" w:cs="Arial"/>
          <w:b/>
          <w:bCs/>
        </w:rPr>
      </w:pPr>
      <w:r>
        <w:rPr>
          <w:rFonts w:ascii="Arial" w:hAnsi="Arial" w:cs="Arial"/>
          <w:b/>
          <w:bCs/>
        </w:rPr>
        <w:t>Food supply chain late or failed payment claims up 79% as the sector faces ‘</w:t>
      </w:r>
      <w:r w:rsidR="00FF2B4C">
        <w:rPr>
          <w:rFonts w:ascii="Arial" w:hAnsi="Arial" w:cs="Arial"/>
          <w:b/>
          <w:bCs/>
        </w:rPr>
        <w:t>quadruple</w:t>
      </w:r>
      <w:r>
        <w:rPr>
          <w:rFonts w:ascii="Arial" w:hAnsi="Arial" w:cs="Arial"/>
          <w:b/>
          <w:bCs/>
        </w:rPr>
        <w:t xml:space="preserve"> threat’</w:t>
      </w:r>
    </w:p>
    <w:p w14:paraId="7D866F09" w14:textId="627E1317" w:rsidR="00466E9B" w:rsidRPr="00466E9B" w:rsidRDefault="00466E9B" w:rsidP="00466E9B">
      <w:pPr>
        <w:pStyle w:val="ListParagraph"/>
        <w:numPr>
          <w:ilvl w:val="0"/>
          <w:numId w:val="1"/>
        </w:numPr>
        <w:rPr>
          <w:rFonts w:ascii="Arial" w:hAnsi="Arial" w:cs="Arial"/>
          <w:b/>
          <w:bCs/>
        </w:rPr>
      </w:pPr>
      <w:r>
        <w:rPr>
          <w:rFonts w:ascii="Arial" w:hAnsi="Arial" w:cs="Arial"/>
          <w:b/>
          <w:bCs/>
        </w:rPr>
        <w:t>The Insurer</w:t>
      </w:r>
      <w:r w:rsidR="00F91618">
        <w:rPr>
          <w:rFonts w:ascii="Arial" w:hAnsi="Arial" w:cs="Arial"/>
          <w:b/>
          <w:bCs/>
        </w:rPr>
        <w:t>’s data also shows Agriculture supply chains are suffering, with a 119% rise in 2022</w:t>
      </w:r>
      <w:r w:rsidR="00F91618">
        <w:rPr>
          <w:rFonts w:ascii="Arial" w:hAnsi="Arial" w:cs="Arial"/>
          <w:b/>
          <w:bCs/>
          <w:vertAlign w:val="superscript"/>
        </w:rPr>
        <w:t>1</w:t>
      </w:r>
    </w:p>
    <w:p w14:paraId="4E857BE2" w14:textId="56817749" w:rsidR="00466E9B" w:rsidRPr="0075275C" w:rsidRDefault="00466E9B" w:rsidP="0075275C">
      <w:pPr>
        <w:pStyle w:val="ListParagraph"/>
        <w:numPr>
          <w:ilvl w:val="0"/>
          <w:numId w:val="1"/>
        </w:numPr>
        <w:rPr>
          <w:rFonts w:ascii="Arial" w:hAnsi="Arial" w:cs="Arial"/>
          <w:b/>
          <w:bCs/>
        </w:rPr>
      </w:pPr>
      <w:r>
        <w:rPr>
          <w:rFonts w:ascii="Arial" w:hAnsi="Arial" w:cs="Arial"/>
          <w:b/>
          <w:bCs/>
        </w:rPr>
        <w:t>Insurer warns the ‘</w:t>
      </w:r>
      <w:r w:rsidR="00FF2B4C">
        <w:rPr>
          <w:rFonts w:ascii="Arial" w:hAnsi="Arial" w:cs="Arial"/>
          <w:b/>
          <w:bCs/>
        </w:rPr>
        <w:t>quadruple</w:t>
      </w:r>
      <w:r>
        <w:rPr>
          <w:rFonts w:ascii="Arial" w:hAnsi="Arial" w:cs="Arial"/>
          <w:b/>
          <w:bCs/>
        </w:rPr>
        <w:t xml:space="preserve"> threat’ of rising prices</w:t>
      </w:r>
      <w:r w:rsidR="00951E68">
        <w:rPr>
          <w:rFonts w:ascii="Arial" w:hAnsi="Arial" w:cs="Arial"/>
          <w:b/>
          <w:bCs/>
        </w:rPr>
        <w:t>, the ongoing fallout from Brexit</w:t>
      </w:r>
      <w:r w:rsidR="00FF2B4C">
        <w:rPr>
          <w:rFonts w:ascii="Arial" w:hAnsi="Arial" w:cs="Arial"/>
          <w:b/>
          <w:bCs/>
        </w:rPr>
        <w:t xml:space="preserve"> and the pandemic</w:t>
      </w:r>
      <w:r w:rsidR="00951E68" w:rsidRPr="0075275C">
        <w:rPr>
          <w:rFonts w:ascii="Arial" w:hAnsi="Arial" w:cs="Arial"/>
          <w:b/>
          <w:bCs/>
        </w:rPr>
        <w:t xml:space="preserve">, </w:t>
      </w:r>
      <w:r w:rsidRPr="0075275C">
        <w:rPr>
          <w:rFonts w:ascii="Arial" w:hAnsi="Arial" w:cs="Arial"/>
          <w:b/>
          <w:bCs/>
        </w:rPr>
        <w:t>and bad weather could see insolvencies soar in the sector</w:t>
      </w:r>
    </w:p>
    <w:p w14:paraId="198F2F6A" w14:textId="4D8AF96B" w:rsidR="0075275C" w:rsidRDefault="001E0BD1" w:rsidP="00F91618">
      <w:pPr>
        <w:rPr>
          <w:rFonts w:ascii="Arial" w:hAnsi="Arial" w:cs="Arial"/>
        </w:rPr>
      </w:pPr>
      <w:r>
        <w:rPr>
          <w:rFonts w:ascii="Arial" w:hAnsi="Arial" w:cs="Arial"/>
        </w:rPr>
        <w:t>One</w:t>
      </w:r>
      <w:r w:rsidR="0075275C">
        <w:rPr>
          <w:rFonts w:ascii="Arial" w:hAnsi="Arial" w:cs="Arial"/>
        </w:rPr>
        <w:t xml:space="preserve"> of the UK’s largest trade credit insurers, </w:t>
      </w:r>
      <w:hyperlink r:id="rId9" w:history="1">
        <w:r w:rsidR="0075275C" w:rsidRPr="002E3C22">
          <w:rPr>
            <w:rStyle w:val="Hyperlink"/>
            <w:rFonts w:ascii="Arial" w:hAnsi="Arial" w:cs="Arial"/>
            <w:b/>
            <w:bCs/>
          </w:rPr>
          <w:t>Atradius</w:t>
        </w:r>
      </w:hyperlink>
      <w:r w:rsidR="0075275C">
        <w:rPr>
          <w:rFonts w:ascii="Arial" w:hAnsi="Arial" w:cs="Arial"/>
          <w:b/>
          <w:bCs/>
        </w:rPr>
        <w:t xml:space="preserve">, </w:t>
      </w:r>
      <w:r w:rsidR="0075275C">
        <w:rPr>
          <w:rFonts w:ascii="Arial" w:hAnsi="Arial" w:cs="Arial"/>
        </w:rPr>
        <w:t>has</w:t>
      </w:r>
      <w:r w:rsidR="004C33C2">
        <w:rPr>
          <w:rFonts w:ascii="Arial" w:hAnsi="Arial" w:cs="Arial"/>
        </w:rPr>
        <w:t xml:space="preserve"> report</w:t>
      </w:r>
      <w:r>
        <w:rPr>
          <w:rFonts w:ascii="Arial" w:hAnsi="Arial" w:cs="Arial"/>
        </w:rPr>
        <w:t>ed</w:t>
      </w:r>
      <w:r w:rsidR="004C33C2">
        <w:rPr>
          <w:rFonts w:ascii="Arial" w:hAnsi="Arial" w:cs="Arial"/>
        </w:rPr>
        <w:t xml:space="preserve"> a 79% increase in claims for late and failed payments</w:t>
      </w:r>
      <w:r w:rsidR="00123213">
        <w:rPr>
          <w:rFonts w:ascii="Arial" w:hAnsi="Arial" w:cs="Arial"/>
        </w:rPr>
        <w:t xml:space="preserve"> in the food sector</w:t>
      </w:r>
      <w:r>
        <w:rPr>
          <w:rFonts w:ascii="Arial" w:hAnsi="Arial" w:cs="Arial"/>
        </w:rPr>
        <w:t xml:space="preserve"> amid </w:t>
      </w:r>
      <w:r w:rsidR="00E23CFD">
        <w:rPr>
          <w:rFonts w:ascii="Arial" w:hAnsi="Arial" w:cs="Arial"/>
        </w:rPr>
        <w:t>national supply shortages of products like eggs and some vegetables</w:t>
      </w:r>
      <w:r w:rsidR="004C33C2">
        <w:rPr>
          <w:rFonts w:ascii="Arial" w:hAnsi="Arial" w:cs="Arial"/>
        </w:rPr>
        <w:t xml:space="preserve">. </w:t>
      </w:r>
      <w:r w:rsidR="00123213">
        <w:rPr>
          <w:rFonts w:ascii="Arial" w:hAnsi="Arial" w:cs="Arial"/>
        </w:rPr>
        <w:t>It</w:t>
      </w:r>
      <w:r w:rsidR="00CE42BE">
        <w:rPr>
          <w:rFonts w:ascii="Arial" w:hAnsi="Arial" w:cs="Arial"/>
        </w:rPr>
        <w:t>’</w:t>
      </w:r>
      <w:r w:rsidR="00123213">
        <w:rPr>
          <w:rFonts w:ascii="Arial" w:hAnsi="Arial" w:cs="Arial"/>
        </w:rPr>
        <w:t>s data shows t</w:t>
      </w:r>
      <w:r w:rsidR="004C33C2">
        <w:rPr>
          <w:rFonts w:ascii="Arial" w:hAnsi="Arial" w:cs="Arial"/>
        </w:rPr>
        <w:t>he agriculture sector also saw claims more than double (119% increase)</w:t>
      </w:r>
      <w:r w:rsidR="00123213">
        <w:rPr>
          <w:rFonts w:ascii="Arial" w:hAnsi="Arial" w:cs="Arial"/>
        </w:rPr>
        <w:t xml:space="preserve"> last year</w:t>
      </w:r>
      <w:r w:rsidR="004C33C2">
        <w:rPr>
          <w:rFonts w:ascii="Arial" w:hAnsi="Arial" w:cs="Arial"/>
        </w:rPr>
        <w:t xml:space="preserve">. </w:t>
      </w:r>
    </w:p>
    <w:p w14:paraId="6E942F30" w14:textId="77777777" w:rsidR="00E13F77" w:rsidRPr="00486A00" w:rsidRDefault="00E13F77" w:rsidP="00E13F77">
      <w:pPr>
        <w:rPr>
          <w:rFonts w:ascii="Arial" w:hAnsi="Arial" w:cs="Arial"/>
        </w:rPr>
      </w:pPr>
      <w:r w:rsidRPr="00486A00">
        <w:rPr>
          <w:rFonts w:ascii="Arial" w:hAnsi="Arial" w:cs="Arial"/>
        </w:rPr>
        <w:t xml:space="preserve">Atradius provides trade credit insurance, which helps to protect suppliers against the risk of a retailer becoming insolvent between when they place an order and make payment. Without insurance, suppliers tend to seek more specific payment terms, putting pressure on a retailer’s cash flow. </w:t>
      </w:r>
    </w:p>
    <w:p w14:paraId="49027B72" w14:textId="15547729" w:rsidR="00123213" w:rsidRPr="0075275C" w:rsidRDefault="00E13F77" w:rsidP="00F91618">
      <w:pPr>
        <w:rPr>
          <w:rFonts w:ascii="Arial" w:hAnsi="Arial" w:cs="Arial"/>
        </w:rPr>
      </w:pPr>
      <w:r w:rsidRPr="00486A00">
        <w:rPr>
          <w:rFonts w:ascii="Arial" w:hAnsi="Arial" w:cs="Arial"/>
        </w:rPr>
        <w:t>A rise in claims received in the sector indicates the number of retailers failing to pay their suppliers has risen exponentially over the last 12 months, as firms struggle to return to business as usual.</w:t>
      </w:r>
    </w:p>
    <w:p w14:paraId="26817624" w14:textId="678F63D9" w:rsidR="00466E9B" w:rsidRDefault="00F91618" w:rsidP="00F91618">
      <w:pPr>
        <w:rPr>
          <w:rFonts w:ascii="Arial" w:hAnsi="Arial" w:cs="Arial"/>
          <w:b/>
          <w:bCs/>
        </w:rPr>
      </w:pPr>
      <w:r>
        <w:rPr>
          <w:rFonts w:ascii="Arial" w:hAnsi="Arial" w:cs="Arial"/>
          <w:b/>
          <w:bCs/>
        </w:rPr>
        <w:t xml:space="preserve">Georgios </w:t>
      </w:r>
      <w:proofErr w:type="spellStart"/>
      <w:r>
        <w:rPr>
          <w:rFonts w:ascii="Arial" w:hAnsi="Arial" w:cs="Arial"/>
          <w:b/>
          <w:bCs/>
        </w:rPr>
        <w:t>Panzaris</w:t>
      </w:r>
      <w:proofErr w:type="spellEnd"/>
      <w:r>
        <w:rPr>
          <w:rFonts w:ascii="Arial" w:hAnsi="Arial" w:cs="Arial"/>
          <w:b/>
          <w:bCs/>
        </w:rPr>
        <w:t xml:space="preserve">, Senior </w:t>
      </w:r>
      <w:r w:rsidR="00534E81">
        <w:rPr>
          <w:rFonts w:ascii="Arial" w:hAnsi="Arial" w:cs="Arial"/>
          <w:b/>
          <w:bCs/>
        </w:rPr>
        <w:t>U</w:t>
      </w:r>
      <w:r>
        <w:rPr>
          <w:rFonts w:ascii="Arial" w:hAnsi="Arial" w:cs="Arial"/>
          <w:b/>
          <w:bCs/>
        </w:rPr>
        <w:t xml:space="preserve">nderwriter at </w:t>
      </w:r>
      <w:hyperlink r:id="rId10" w:history="1">
        <w:r w:rsidRPr="002E3C22">
          <w:rPr>
            <w:rStyle w:val="Hyperlink"/>
            <w:rFonts w:ascii="Arial" w:hAnsi="Arial" w:cs="Arial"/>
            <w:b/>
            <w:bCs/>
          </w:rPr>
          <w:t>Atradius</w:t>
        </w:r>
      </w:hyperlink>
      <w:r>
        <w:rPr>
          <w:rFonts w:ascii="Arial" w:hAnsi="Arial" w:cs="Arial"/>
          <w:b/>
          <w:bCs/>
        </w:rPr>
        <w:t xml:space="preserve">, says: </w:t>
      </w:r>
    </w:p>
    <w:p w14:paraId="2EB9443E" w14:textId="407ACB0F" w:rsidR="00F91618" w:rsidRDefault="00F91618" w:rsidP="00F91618">
      <w:pPr>
        <w:rPr>
          <w:rFonts w:ascii="Arial" w:hAnsi="Arial" w:cs="Arial"/>
        </w:rPr>
      </w:pPr>
      <w:r>
        <w:rPr>
          <w:rFonts w:ascii="Arial" w:hAnsi="Arial" w:cs="Arial"/>
        </w:rPr>
        <w:t>“</w:t>
      </w:r>
      <w:r w:rsidR="00951E68">
        <w:rPr>
          <w:rFonts w:ascii="Arial" w:hAnsi="Arial" w:cs="Arial"/>
        </w:rPr>
        <w:t>It</w:t>
      </w:r>
      <w:r w:rsidR="00CE42BE">
        <w:rPr>
          <w:rFonts w:ascii="Arial" w:hAnsi="Arial" w:cs="Arial"/>
        </w:rPr>
        <w:t>’</w:t>
      </w:r>
      <w:r w:rsidR="00951E68">
        <w:rPr>
          <w:rFonts w:ascii="Arial" w:hAnsi="Arial" w:cs="Arial"/>
        </w:rPr>
        <w:t xml:space="preserve">s been a challenging few years for the food industry in the UK, and ongoing supply issues look set to continue as the sector </w:t>
      </w:r>
      <w:r w:rsidR="002E3C22">
        <w:rPr>
          <w:rFonts w:ascii="Arial" w:hAnsi="Arial" w:cs="Arial"/>
        </w:rPr>
        <w:t>battles with</w:t>
      </w:r>
      <w:r w:rsidR="00951E68">
        <w:rPr>
          <w:rFonts w:ascii="Arial" w:hAnsi="Arial" w:cs="Arial"/>
        </w:rPr>
        <w:t xml:space="preserve"> the </w:t>
      </w:r>
      <w:r w:rsidR="00CE42BE">
        <w:rPr>
          <w:rFonts w:ascii="Arial" w:hAnsi="Arial" w:cs="Arial"/>
        </w:rPr>
        <w:t xml:space="preserve">quadruple </w:t>
      </w:r>
      <w:r w:rsidR="00951E68">
        <w:rPr>
          <w:rFonts w:ascii="Arial" w:hAnsi="Arial" w:cs="Arial"/>
        </w:rPr>
        <w:t xml:space="preserve">threat of </w:t>
      </w:r>
      <w:r w:rsidR="00951E68" w:rsidRPr="00951E68">
        <w:rPr>
          <w:rFonts w:ascii="Arial" w:hAnsi="Arial" w:cs="Arial"/>
        </w:rPr>
        <w:t>rising prices, ongoing fallout from Brexit</w:t>
      </w:r>
      <w:r w:rsidR="00CE42BE">
        <w:rPr>
          <w:rFonts w:ascii="Arial" w:hAnsi="Arial" w:cs="Arial"/>
        </w:rPr>
        <w:t xml:space="preserve"> and </w:t>
      </w:r>
      <w:r w:rsidR="00951E68" w:rsidRPr="00951E68">
        <w:rPr>
          <w:rFonts w:ascii="Arial" w:hAnsi="Arial" w:cs="Arial"/>
        </w:rPr>
        <w:t>the pandemic, and bad weather</w:t>
      </w:r>
      <w:r w:rsidR="00951E68">
        <w:rPr>
          <w:rFonts w:ascii="Arial" w:hAnsi="Arial" w:cs="Arial"/>
        </w:rPr>
        <w:t xml:space="preserve"> conditions. </w:t>
      </w:r>
    </w:p>
    <w:p w14:paraId="212684CA" w14:textId="41CCE301" w:rsidR="002E3C22" w:rsidRDefault="002E3C22" w:rsidP="00F91618">
      <w:pPr>
        <w:rPr>
          <w:rFonts w:ascii="Arial" w:hAnsi="Arial" w:cs="Arial"/>
        </w:rPr>
      </w:pPr>
      <w:r>
        <w:rPr>
          <w:rFonts w:ascii="Arial" w:hAnsi="Arial" w:cs="Arial"/>
        </w:rPr>
        <w:t>“</w:t>
      </w:r>
      <w:r w:rsidR="00CE42BE">
        <w:rPr>
          <w:rFonts w:ascii="Arial" w:hAnsi="Arial" w:cs="Arial"/>
        </w:rPr>
        <w:t>T</w:t>
      </w:r>
      <w:r>
        <w:rPr>
          <w:rFonts w:ascii="Arial" w:hAnsi="Arial" w:cs="Arial"/>
        </w:rPr>
        <w:t>he empty shelves shoppers are seeing have different root causes. Egg shortages are largely down to farmers being hit by the rising costs of feed, energy and labour, not to mention the largest Avian Flu outbreak we’ve ever seen, with undersupply at risk of persisting for months. Meanwhile vegetable producers are facing similar challenges alongside unfavourable weather conditions</w:t>
      </w:r>
      <w:r w:rsidR="008D5214">
        <w:rPr>
          <w:rFonts w:ascii="Arial" w:hAnsi="Arial" w:cs="Arial"/>
        </w:rPr>
        <w:t>, with lower crop yields affecting supply</w:t>
      </w:r>
      <w:r>
        <w:rPr>
          <w:rFonts w:ascii="Arial" w:hAnsi="Arial" w:cs="Arial"/>
        </w:rPr>
        <w:t xml:space="preserve">. Put simply, </w:t>
      </w:r>
      <w:r w:rsidR="008D5214">
        <w:rPr>
          <w:rFonts w:ascii="Arial" w:hAnsi="Arial" w:cs="Arial"/>
        </w:rPr>
        <w:t>farmers are facing a raft of challenges in an already volatile environment.</w:t>
      </w:r>
    </w:p>
    <w:p w14:paraId="2E1837FE" w14:textId="2D5474BE" w:rsidR="002E3C22" w:rsidRDefault="002E3C22" w:rsidP="00F91618">
      <w:pPr>
        <w:rPr>
          <w:rFonts w:ascii="Arial" w:hAnsi="Arial" w:cs="Arial"/>
        </w:rPr>
      </w:pPr>
      <w:r>
        <w:rPr>
          <w:rFonts w:ascii="Arial" w:hAnsi="Arial" w:cs="Arial"/>
        </w:rPr>
        <w:t>“</w:t>
      </w:r>
      <w:r w:rsidR="00951E68">
        <w:rPr>
          <w:rFonts w:ascii="Arial" w:hAnsi="Arial" w:cs="Arial"/>
        </w:rPr>
        <w:t xml:space="preserve">Our data on late and failed payments paints a </w:t>
      </w:r>
      <w:r w:rsidR="008D5214">
        <w:rPr>
          <w:rFonts w:ascii="Arial" w:hAnsi="Arial" w:cs="Arial"/>
        </w:rPr>
        <w:t>bleak</w:t>
      </w:r>
      <w:r w:rsidR="00951E68">
        <w:rPr>
          <w:rFonts w:ascii="Arial" w:hAnsi="Arial" w:cs="Arial"/>
        </w:rPr>
        <w:t xml:space="preserve"> picture, with the number of claims we received in the sector for late and failed payments up by 79% in the food sector, and a huge 119% in the agriculture sector last year. This follows a relatively subdued period in 2021 where businesses could benefit from ongoing government support put in place during the pandemic. </w:t>
      </w:r>
      <w:r>
        <w:rPr>
          <w:rFonts w:ascii="Arial" w:hAnsi="Arial" w:cs="Arial"/>
        </w:rPr>
        <w:t xml:space="preserve">But with no such support in place this year, </w:t>
      </w:r>
      <w:r w:rsidR="00951E68">
        <w:rPr>
          <w:rFonts w:ascii="Arial" w:hAnsi="Arial" w:cs="Arial"/>
        </w:rPr>
        <w:t xml:space="preserve">firms will be bracing themselves for </w:t>
      </w:r>
      <w:r w:rsidR="008D5214">
        <w:rPr>
          <w:rFonts w:ascii="Arial" w:hAnsi="Arial" w:cs="Arial"/>
        </w:rPr>
        <w:t xml:space="preserve">the coming months. </w:t>
      </w:r>
    </w:p>
    <w:p w14:paraId="4DB8E7AC" w14:textId="4167FA30" w:rsidR="008D5214" w:rsidRDefault="008D5214" w:rsidP="008D5214">
      <w:pPr>
        <w:jc w:val="both"/>
        <w:rPr>
          <w:rFonts w:ascii="Arial" w:hAnsi="Arial" w:cs="Arial"/>
        </w:rPr>
      </w:pPr>
      <w:r>
        <w:rPr>
          <w:rFonts w:ascii="Arial" w:hAnsi="Arial" w:cs="Arial"/>
        </w:rPr>
        <w:t>“</w:t>
      </w:r>
      <w:r w:rsidR="002E3C22">
        <w:rPr>
          <w:rFonts w:ascii="Arial" w:hAnsi="Arial" w:cs="Arial"/>
        </w:rPr>
        <w:t>Companies that have traditionally operated on thin margins will be particularly vulnerable to volatile market conditions, but even</w:t>
      </w:r>
      <w:r>
        <w:rPr>
          <w:rFonts w:ascii="Arial" w:hAnsi="Arial" w:cs="Arial"/>
        </w:rPr>
        <w:t xml:space="preserve"> the biggest players are being tested. </w:t>
      </w:r>
      <w:r w:rsidRPr="005B0CCA">
        <w:rPr>
          <w:rFonts w:ascii="Arial" w:hAnsi="Arial" w:cs="Arial"/>
        </w:rPr>
        <w:t xml:space="preserve">With insolvency a real risk, businesses need to do all they can to ensure they are protecting cash flow so they can mitigate the risk of a large customer failing unexpectedly. </w:t>
      </w:r>
      <w:r w:rsidRPr="008D5214">
        <w:rPr>
          <w:rFonts w:ascii="Arial" w:hAnsi="Arial" w:cs="Arial"/>
        </w:rPr>
        <w:t xml:space="preserve">We – at Atradius – continue to underwrite </w:t>
      </w:r>
      <w:r>
        <w:rPr>
          <w:rFonts w:ascii="Arial" w:hAnsi="Arial" w:cs="Arial"/>
        </w:rPr>
        <w:t>agri-food</w:t>
      </w:r>
      <w:r w:rsidRPr="008D5214">
        <w:rPr>
          <w:rFonts w:ascii="Arial" w:hAnsi="Arial" w:cs="Arial"/>
        </w:rPr>
        <w:t xml:space="preserve"> firms on a case-by-case basis, but it’s crucial </w:t>
      </w:r>
      <w:r>
        <w:rPr>
          <w:rFonts w:ascii="Arial" w:hAnsi="Arial" w:cs="Arial"/>
        </w:rPr>
        <w:t xml:space="preserve">businesses </w:t>
      </w:r>
      <w:r w:rsidRPr="008D5214">
        <w:rPr>
          <w:rFonts w:ascii="Arial" w:hAnsi="Arial" w:cs="Arial"/>
        </w:rPr>
        <w:t>have robust and updated financial insight and</w:t>
      </w:r>
      <w:r>
        <w:rPr>
          <w:rFonts w:ascii="Arial" w:hAnsi="Arial" w:cs="Arial"/>
        </w:rPr>
        <w:t xml:space="preserve"> </w:t>
      </w:r>
      <w:r w:rsidRPr="008D5214">
        <w:rPr>
          <w:rFonts w:ascii="Arial" w:hAnsi="Arial" w:cs="Arial"/>
        </w:rPr>
        <w:t>forecasts. To guard against the domino effect that crumbling supply chains can have on firms, a trade credit insurance policy can play a very important role in maintaining a company’s confidence in its trade debtor book.”</w:t>
      </w:r>
    </w:p>
    <w:p w14:paraId="0B602534" w14:textId="499C88B3" w:rsidR="002E3C22" w:rsidRDefault="002E3C22" w:rsidP="00F91618">
      <w:pPr>
        <w:rPr>
          <w:rFonts w:ascii="Arial" w:hAnsi="Arial" w:cs="Arial"/>
        </w:rPr>
      </w:pPr>
    </w:p>
    <w:p w14:paraId="7D965D57" w14:textId="0C87C7DF" w:rsidR="008D5214" w:rsidRDefault="008D5214" w:rsidP="00F91618">
      <w:pPr>
        <w:rPr>
          <w:rFonts w:ascii="Arial" w:hAnsi="Arial" w:cs="Arial"/>
        </w:rPr>
      </w:pPr>
    </w:p>
    <w:p w14:paraId="500B73D4" w14:textId="49EAD1AB" w:rsidR="008D5214" w:rsidRPr="008D5214" w:rsidRDefault="008D5214" w:rsidP="008D5214">
      <w:pPr>
        <w:jc w:val="center"/>
        <w:rPr>
          <w:rFonts w:ascii="Arial" w:hAnsi="Arial" w:cs="Arial"/>
          <w:b/>
          <w:bCs/>
        </w:rPr>
      </w:pPr>
      <w:r>
        <w:rPr>
          <w:rFonts w:ascii="Arial" w:hAnsi="Arial" w:cs="Arial"/>
          <w:b/>
          <w:bCs/>
        </w:rPr>
        <w:lastRenderedPageBreak/>
        <w:t>ENDS</w:t>
      </w:r>
    </w:p>
    <w:p w14:paraId="29C44D5E" w14:textId="77777777" w:rsidR="00466E9B" w:rsidRDefault="00466E9B" w:rsidP="00466E9B">
      <w:pPr>
        <w:rPr>
          <w:rFonts w:ascii="Arial" w:hAnsi="Arial" w:cs="Arial"/>
          <w:b/>
          <w:bCs/>
        </w:rPr>
      </w:pPr>
    </w:p>
    <w:p w14:paraId="3799EBAA" w14:textId="658FA32B" w:rsidR="00466E9B" w:rsidRDefault="00466E9B" w:rsidP="00466E9B">
      <w:pPr>
        <w:rPr>
          <w:rFonts w:ascii="Arial" w:hAnsi="Arial" w:cs="Arial"/>
          <w:b/>
          <w:bCs/>
        </w:rPr>
      </w:pPr>
      <w:r>
        <w:rPr>
          <w:rFonts w:ascii="Arial" w:hAnsi="Arial" w:cs="Arial"/>
          <w:b/>
          <w:bCs/>
        </w:rPr>
        <w:t xml:space="preserve">NOTES TO EDITORS: </w:t>
      </w:r>
    </w:p>
    <w:p w14:paraId="5273A141" w14:textId="3A7AEC73" w:rsidR="00466E9B" w:rsidRDefault="00466E9B" w:rsidP="00466E9B">
      <w:pPr>
        <w:pStyle w:val="ListParagraph"/>
        <w:numPr>
          <w:ilvl w:val="0"/>
          <w:numId w:val="5"/>
        </w:numPr>
        <w:rPr>
          <w:rFonts w:ascii="Arial" w:hAnsi="Arial" w:cs="Arial"/>
          <w:b/>
          <w:bCs/>
        </w:rPr>
      </w:pPr>
      <w:r>
        <w:rPr>
          <w:rFonts w:ascii="Arial" w:hAnsi="Arial" w:cs="Arial"/>
          <w:b/>
          <w:bCs/>
        </w:rPr>
        <w:t xml:space="preserve">Atradius’ own internal claims data showed a 79% increase in the number of claims it received for late or failed payments in the </w:t>
      </w:r>
      <w:r w:rsidR="00E61CDF">
        <w:rPr>
          <w:rFonts w:ascii="Arial" w:hAnsi="Arial" w:cs="Arial"/>
          <w:b/>
          <w:bCs/>
        </w:rPr>
        <w:t xml:space="preserve">food </w:t>
      </w:r>
      <w:r>
        <w:rPr>
          <w:rFonts w:ascii="Arial" w:hAnsi="Arial" w:cs="Arial"/>
          <w:b/>
          <w:bCs/>
        </w:rPr>
        <w:t xml:space="preserve">sector compared to 2021. </w:t>
      </w:r>
      <w:r w:rsidR="00E61CDF">
        <w:rPr>
          <w:rFonts w:ascii="Arial" w:hAnsi="Arial" w:cs="Arial"/>
          <w:b/>
          <w:bCs/>
        </w:rPr>
        <w:t xml:space="preserve">Claims increased by 119% in the agriculture sector. </w:t>
      </w:r>
    </w:p>
    <w:p w14:paraId="738E478F" w14:textId="77777777" w:rsidR="00466E9B" w:rsidRPr="00466E9B" w:rsidRDefault="00466E9B" w:rsidP="00466E9B">
      <w:pPr>
        <w:pStyle w:val="ListParagraph"/>
        <w:rPr>
          <w:rFonts w:ascii="Arial" w:hAnsi="Arial" w:cs="Arial"/>
          <w:b/>
          <w:bCs/>
        </w:rPr>
      </w:pPr>
    </w:p>
    <w:p w14:paraId="459B21B2" w14:textId="77777777" w:rsidR="00466E9B" w:rsidRDefault="00466E9B" w:rsidP="00466E9B">
      <w:pPr>
        <w:rPr>
          <w:rFonts w:ascii="Arial" w:hAnsi="Arial" w:cs="Arial"/>
          <w:b/>
          <w:bCs/>
        </w:rPr>
      </w:pPr>
    </w:p>
    <w:p w14:paraId="53E125B2" w14:textId="26F2A470" w:rsidR="00466E9B" w:rsidRPr="00917356" w:rsidRDefault="00466E9B" w:rsidP="00466E9B">
      <w:pPr>
        <w:rPr>
          <w:rFonts w:ascii="Arial" w:hAnsi="Arial" w:cs="Arial"/>
          <w:b/>
          <w:bCs/>
        </w:rPr>
      </w:pPr>
      <w:r w:rsidRPr="00917356">
        <w:rPr>
          <w:rFonts w:ascii="Arial" w:hAnsi="Arial" w:cs="Arial"/>
          <w:b/>
          <w:bCs/>
        </w:rPr>
        <w:t>Media contacts</w:t>
      </w:r>
    </w:p>
    <w:p w14:paraId="7F6FFDF2" w14:textId="3AB2D898" w:rsidR="00466E9B" w:rsidRPr="00486A00" w:rsidRDefault="00466E9B" w:rsidP="00466E9B">
      <w:pPr>
        <w:rPr>
          <w:rFonts w:ascii="Arial" w:hAnsi="Arial" w:cs="Arial"/>
        </w:rPr>
      </w:pPr>
      <w:r w:rsidRPr="00486A00">
        <w:rPr>
          <w:rFonts w:ascii="Arial" w:hAnsi="Arial" w:cs="Arial"/>
        </w:rPr>
        <w:t xml:space="preserve">Alice Lally – </w:t>
      </w:r>
      <w:r w:rsidR="00200516">
        <w:rPr>
          <w:rFonts w:ascii="Arial" w:hAnsi="Arial" w:cs="Arial"/>
        </w:rPr>
        <w:t>al</w:t>
      </w:r>
      <w:r w:rsidR="00C471B3">
        <w:rPr>
          <w:rFonts w:ascii="Arial" w:hAnsi="Arial" w:cs="Arial"/>
        </w:rPr>
        <w:t>ice.lally@thefolkgroup.com</w:t>
      </w:r>
      <w:r w:rsidRPr="00486A00">
        <w:rPr>
          <w:rFonts w:ascii="Arial" w:hAnsi="Arial" w:cs="Arial"/>
        </w:rPr>
        <w:t xml:space="preserve"> </w:t>
      </w:r>
    </w:p>
    <w:p w14:paraId="066E166B" w14:textId="2E973E18" w:rsidR="00466E9B" w:rsidRPr="00486A00" w:rsidRDefault="00466E9B" w:rsidP="00466E9B">
      <w:pPr>
        <w:rPr>
          <w:rFonts w:ascii="Arial" w:hAnsi="Arial" w:cs="Arial"/>
        </w:rPr>
      </w:pPr>
      <w:r w:rsidRPr="00486A00">
        <w:rPr>
          <w:rFonts w:ascii="Arial" w:hAnsi="Arial" w:cs="Arial"/>
        </w:rPr>
        <w:t xml:space="preserve">Sheri Hall </w:t>
      </w:r>
      <w:r w:rsidR="00C471B3">
        <w:rPr>
          <w:rFonts w:ascii="Arial" w:hAnsi="Arial" w:cs="Arial"/>
        </w:rPr>
        <w:t>–</w:t>
      </w:r>
      <w:r w:rsidRPr="00486A00">
        <w:rPr>
          <w:rFonts w:ascii="Arial" w:hAnsi="Arial" w:cs="Arial"/>
        </w:rPr>
        <w:t xml:space="preserve"> </w:t>
      </w:r>
      <w:r w:rsidR="00C471B3" w:rsidRPr="00C471B3">
        <w:rPr>
          <w:rFonts w:ascii="Arial" w:hAnsi="Arial" w:cs="Arial"/>
        </w:rPr>
        <w:t>sheri.hall@thefolkgroup.com</w:t>
      </w:r>
    </w:p>
    <w:p w14:paraId="485EB0C1" w14:textId="77777777" w:rsidR="00466E9B" w:rsidRPr="00AE71E2" w:rsidRDefault="00466E9B" w:rsidP="00466E9B">
      <w:pPr>
        <w:rPr>
          <w:rFonts w:ascii="Arial" w:hAnsi="Arial" w:cs="Arial"/>
        </w:rPr>
      </w:pPr>
      <w:r w:rsidRPr="00486A00">
        <w:rPr>
          <w:rFonts w:ascii="Arial" w:hAnsi="Arial" w:cs="Arial"/>
          <w:b/>
          <w:bCs/>
        </w:rPr>
        <w:t>About Atradius</w:t>
      </w:r>
    </w:p>
    <w:p w14:paraId="73AFCA8E" w14:textId="77777777" w:rsidR="00466E9B" w:rsidRPr="00AE71E2" w:rsidRDefault="00466E9B" w:rsidP="00466E9B">
      <w:pPr>
        <w:rPr>
          <w:rFonts w:ascii="Arial" w:hAnsi="Arial" w:cs="Arial"/>
        </w:rPr>
      </w:pPr>
      <w:r w:rsidRPr="00AE71E2">
        <w:rPr>
          <w:rFonts w:ascii="Arial" w:hAnsi="Arial" w:cs="Arial"/>
        </w:rPr>
        <w:t xml:space="preserve">Atradius is a global provider of credit insurance, bond and surety, collections and information services, with a strategic presence in over 50 countries. The products offered by Atradius protect companies around the world against the default risks associated with selling goods and services on credit. Atradius is a member of Grupo </w:t>
      </w:r>
      <w:proofErr w:type="spellStart"/>
      <w:r w:rsidRPr="00AE71E2">
        <w:rPr>
          <w:rFonts w:ascii="Arial" w:hAnsi="Arial" w:cs="Arial"/>
        </w:rPr>
        <w:t>Catalana</w:t>
      </w:r>
      <w:proofErr w:type="spellEnd"/>
      <w:r w:rsidRPr="00AE71E2">
        <w:rPr>
          <w:rFonts w:ascii="Arial" w:hAnsi="Arial" w:cs="Arial"/>
        </w:rPr>
        <w:t xml:space="preserve"> </w:t>
      </w:r>
      <w:proofErr w:type="spellStart"/>
      <w:r w:rsidRPr="00AE71E2">
        <w:rPr>
          <w:rFonts w:ascii="Arial" w:hAnsi="Arial" w:cs="Arial"/>
        </w:rPr>
        <w:t>Occidente</w:t>
      </w:r>
      <w:proofErr w:type="spellEnd"/>
      <w:r w:rsidRPr="00AE71E2">
        <w:rPr>
          <w:rFonts w:ascii="Arial" w:hAnsi="Arial" w:cs="Arial"/>
        </w:rPr>
        <w:t xml:space="preserve"> (GCO.MC), one of the largest insurers in Spain and one of the largest credit insurers in the world. You can find more information online at https://www.atradius.co.uk</w:t>
      </w:r>
    </w:p>
    <w:p w14:paraId="4A1A9B9F" w14:textId="77777777" w:rsidR="008C2955" w:rsidRDefault="008C2955"/>
    <w:sectPr w:rsidR="008C29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4F96" w14:textId="77777777" w:rsidR="00BB67F2" w:rsidRDefault="00BB67F2" w:rsidP="00466E9B">
      <w:pPr>
        <w:spacing w:after="0" w:line="240" w:lineRule="auto"/>
      </w:pPr>
      <w:r>
        <w:separator/>
      </w:r>
    </w:p>
  </w:endnote>
  <w:endnote w:type="continuationSeparator" w:id="0">
    <w:p w14:paraId="024E73BC" w14:textId="77777777" w:rsidR="00BB67F2" w:rsidRDefault="00BB67F2" w:rsidP="0046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E3D1" w14:textId="77777777" w:rsidR="00BB67F2" w:rsidRDefault="00BB67F2" w:rsidP="00466E9B">
      <w:pPr>
        <w:spacing w:after="0" w:line="240" w:lineRule="auto"/>
      </w:pPr>
      <w:r>
        <w:separator/>
      </w:r>
    </w:p>
  </w:footnote>
  <w:footnote w:type="continuationSeparator" w:id="0">
    <w:p w14:paraId="02D3AF9C" w14:textId="77777777" w:rsidR="00BB67F2" w:rsidRDefault="00BB67F2" w:rsidP="0046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A638" w14:textId="1F6B8447" w:rsidR="00466E9B" w:rsidRDefault="00466E9B">
    <w:pPr>
      <w:pStyle w:val="Header"/>
    </w:pPr>
    <w:r>
      <w:rPr>
        <w:noProof/>
        <w:lang w:eastAsia="en-GB"/>
      </w:rPr>
      <w:drawing>
        <wp:anchor distT="0" distB="0" distL="114300" distR="114300" simplePos="0" relativeHeight="251659264" behindDoc="1" locked="0" layoutInCell="1" allowOverlap="1" wp14:anchorId="7ABE5994" wp14:editId="5A207F74">
          <wp:simplePos x="0" y="0"/>
          <wp:positionH relativeFrom="column">
            <wp:posOffset>-218050</wp:posOffset>
          </wp:positionH>
          <wp:positionV relativeFrom="paragraph">
            <wp:posOffset>-127147</wp:posOffset>
          </wp:positionV>
          <wp:extent cx="1343577" cy="359264"/>
          <wp:effectExtent l="0" t="0" r="0" b="3175"/>
          <wp:wrapTight wrapText="bothSides">
            <wp:wrapPolygon edited="0">
              <wp:start x="0" y="0"/>
              <wp:lineTo x="0" y="20644"/>
              <wp:lineTo x="21140" y="20644"/>
              <wp:lineTo x="2114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577" cy="35926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25E2"/>
    <w:multiLevelType w:val="hybridMultilevel"/>
    <w:tmpl w:val="F6B29754"/>
    <w:lvl w:ilvl="0" w:tplc="25E65D4E">
      <w:start w:val="1"/>
      <w:numFmt w:val="decimal"/>
      <w:lvlText w:val="%1."/>
      <w:lvlJc w:val="left"/>
      <w:pPr>
        <w:ind w:left="1480" w:hanging="1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EE4FDE"/>
    <w:multiLevelType w:val="hybridMultilevel"/>
    <w:tmpl w:val="5DE8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11765"/>
    <w:multiLevelType w:val="hybridMultilevel"/>
    <w:tmpl w:val="79E23088"/>
    <w:lvl w:ilvl="0" w:tplc="FECEF36E">
      <w:start w:val="1"/>
      <w:numFmt w:val="decimal"/>
      <w:lvlText w:val="%1."/>
      <w:lvlJc w:val="left"/>
      <w:pPr>
        <w:ind w:left="1480" w:hanging="1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20C3A"/>
    <w:multiLevelType w:val="hybridMultilevel"/>
    <w:tmpl w:val="5D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678C2"/>
    <w:multiLevelType w:val="hybridMultilevel"/>
    <w:tmpl w:val="9C6EC946"/>
    <w:lvl w:ilvl="0" w:tplc="7B8AE794">
      <w:start w:val="1"/>
      <w:numFmt w:val="decimal"/>
      <w:lvlText w:val="%1."/>
      <w:lvlJc w:val="left"/>
      <w:pPr>
        <w:ind w:left="1480" w:hanging="1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3006558">
    <w:abstractNumId w:val="1"/>
  </w:num>
  <w:num w:numId="2" w16cid:durableId="142158892">
    <w:abstractNumId w:val="4"/>
  </w:num>
  <w:num w:numId="3" w16cid:durableId="1429041402">
    <w:abstractNumId w:val="2"/>
  </w:num>
  <w:num w:numId="4" w16cid:durableId="1233396214">
    <w:abstractNumId w:val="0"/>
  </w:num>
  <w:num w:numId="5" w16cid:durableId="249893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9B"/>
    <w:rsid w:val="001118D6"/>
    <w:rsid w:val="00123213"/>
    <w:rsid w:val="001E0BD1"/>
    <w:rsid w:val="00200516"/>
    <w:rsid w:val="002E3C22"/>
    <w:rsid w:val="00466E9B"/>
    <w:rsid w:val="004C33C2"/>
    <w:rsid w:val="004E0C3A"/>
    <w:rsid w:val="004E449D"/>
    <w:rsid w:val="00534E81"/>
    <w:rsid w:val="006824A9"/>
    <w:rsid w:val="0075275C"/>
    <w:rsid w:val="00767E68"/>
    <w:rsid w:val="008C2955"/>
    <w:rsid w:val="008D5214"/>
    <w:rsid w:val="0090799B"/>
    <w:rsid w:val="00951E68"/>
    <w:rsid w:val="00BB67F2"/>
    <w:rsid w:val="00C471B3"/>
    <w:rsid w:val="00CE42BE"/>
    <w:rsid w:val="00E13F77"/>
    <w:rsid w:val="00E23CFD"/>
    <w:rsid w:val="00E61CDF"/>
    <w:rsid w:val="00F91618"/>
    <w:rsid w:val="00FF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F96E"/>
  <w15:docId w15:val="{98C86AD0-D95D-41A1-BE00-1CB51C0E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E9B"/>
    <w:rPr>
      <w:color w:val="0563C1" w:themeColor="hyperlink"/>
      <w:u w:val="single"/>
    </w:rPr>
  </w:style>
  <w:style w:type="paragraph" w:styleId="Header">
    <w:name w:val="header"/>
    <w:basedOn w:val="Normal"/>
    <w:link w:val="HeaderChar"/>
    <w:uiPriority w:val="99"/>
    <w:unhideWhenUsed/>
    <w:rsid w:val="0046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E9B"/>
  </w:style>
  <w:style w:type="paragraph" w:styleId="Footer">
    <w:name w:val="footer"/>
    <w:basedOn w:val="Normal"/>
    <w:link w:val="FooterChar"/>
    <w:uiPriority w:val="99"/>
    <w:unhideWhenUsed/>
    <w:rsid w:val="0046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B"/>
  </w:style>
  <w:style w:type="paragraph" w:styleId="ListParagraph">
    <w:name w:val="List Paragraph"/>
    <w:basedOn w:val="Normal"/>
    <w:uiPriority w:val="34"/>
    <w:qFormat/>
    <w:rsid w:val="00466E9B"/>
    <w:pPr>
      <w:ind w:left="720"/>
      <w:contextualSpacing/>
    </w:pPr>
  </w:style>
  <w:style w:type="character" w:styleId="UnresolvedMention">
    <w:name w:val="Unresolved Mention"/>
    <w:basedOn w:val="DefaultParagraphFont"/>
    <w:uiPriority w:val="99"/>
    <w:semiHidden/>
    <w:unhideWhenUsed/>
    <w:rsid w:val="002E3C22"/>
    <w:rPr>
      <w:color w:val="605E5C"/>
      <w:shd w:val="clear" w:color="auto" w:fill="E1DFDD"/>
    </w:rPr>
  </w:style>
  <w:style w:type="paragraph" w:styleId="Revision">
    <w:name w:val="Revision"/>
    <w:hidden/>
    <w:uiPriority w:val="99"/>
    <w:semiHidden/>
    <w:rsid w:val="00CE42BE"/>
    <w:pPr>
      <w:spacing w:after="0" w:line="240" w:lineRule="auto"/>
    </w:pPr>
  </w:style>
  <w:style w:type="character" w:styleId="CommentReference">
    <w:name w:val="annotation reference"/>
    <w:basedOn w:val="DefaultParagraphFont"/>
    <w:uiPriority w:val="99"/>
    <w:semiHidden/>
    <w:unhideWhenUsed/>
    <w:rsid w:val="00CE42BE"/>
    <w:rPr>
      <w:sz w:val="16"/>
      <w:szCs w:val="16"/>
    </w:rPr>
  </w:style>
  <w:style w:type="paragraph" w:styleId="CommentText">
    <w:name w:val="annotation text"/>
    <w:basedOn w:val="Normal"/>
    <w:link w:val="CommentTextChar"/>
    <w:uiPriority w:val="99"/>
    <w:unhideWhenUsed/>
    <w:rsid w:val="00CE42BE"/>
    <w:pPr>
      <w:spacing w:line="240" w:lineRule="auto"/>
    </w:pPr>
    <w:rPr>
      <w:sz w:val="20"/>
      <w:szCs w:val="20"/>
    </w:rPr>
  </w:style>
  <w:style w:type="character" w:customStyle="1" w:styleId="CommentTextChar">
    <w:name w:val="Comment Text Char"/>
    <w:basedOn w:val="DefaultParagraphFont"/>
    <w:link w:val="CommentText"/>
    <w:uiPriority w:val="99"/>
    <w:rsid w:val="00CE42BE"/>
    <w:rPr>
      <w:sz w:val="20"/>
      <w:szCs w:val="20"/>
    </w:rPr>
  </w:style>
  <w:style w:type="paragraph" w:styleId="CommentSubject">
    <w:name w:val="annotation subject"/>
    <w:basedOn w:val="CommentText"/>
    <w:next w:val="CommentText"/>
    <w:link w:val="CommentSubjectChar"/>
    <w:uiPriority w:val="99"/>
    <w:semiHidden/>
    <w:unhideWhenUsed/>
    <w:rsid w:val="00CE42BE"/>
    <w:rPr>
      <w:b/>
      <w:bCs/>
    </w:rPr>
  </w:style>
  <w:style w:type="character" w:customStyle="1" w:styleId="CommentSubjectChar">
    <w:name w:val="Comment Subject Char"/>
    <w:basedOn w:val="CommentTextChar"/>
    <w:link w:val="CommentSubject"/>
    <w:uiPriority w:val="99"/>
    <w:semiHidden/>
    <w:rsid w:val="00CE42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tradius.com" TargetMode="External"/><Relationship Id="rId4" Type="http://schemas.openxmlformats.org/officeDocument/2006/relationships/styles" Target="styles.xml"/><Relationship Id="rId9" Type="http://schemas.openxmlformats.org/officeDocument/2006/relationships/hyperlink" Target="http://www.atrad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549C7F371024E8059F63D0BD4F650" ma:contentTypeVersion="18" ma:contentTypeDescription="Create a new document." ma:contentTypeScope="" ma:versionID="657af25e88215f53c736dc966d6427fe">
  <xsd:schema xmlns:xsd="http://www.w3.org/2001/XMLSchema" xmlns:xs="http://www.w3.org/2001/XMLSchema" xmlns:p="http://schemas.microsoft.com/office/2006/metadata/properties" xmlns:ns1="http://schemas.microsoft.com/sharepoint/v3" xmlns:ns2="b4c895e0-9d79-446f-888b-6fbb957f3ae9" xmlns:ns3="329a7f36-8547-4ac8-8427-4c19809a90a5" targetNamespace="http://schemas.microsoft.com/office/2006/metadata/properties" ma:root="true" ma:fieldsID="71141e98cb45d89e09ada7a4888b194f" ns1:_="" ns2:_="" ns3:_="">
    <xsd:import namespace="http://schemas.microsoft.com/sharepoint/v3"/>
    <xsd:import namespace="b4c895e0-9d79-446f-888b-6fbb957f3ae9"/>
    <xsd:import namespace="329a7f36-8547-4ac8-8427-4c19809a9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895e0-9d79-446f-888b-6fbb957f3a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a8e6431-cd0e-4ecf-8122-6219bfc6fb1d}" ma:internalName="TaxCatchAll" ma:showField="CatchAllData" ma:web="b4c895e0-9d79-446f-888b-6fbb957f3a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9a7f36-8547-4ac8-8427-4c19809a90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fde670-f73b-4178-b3b5-84caed3c6a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E3F7C-3B2E-4A41-81CF-D98E63C27B0C}">
  <ds:schemaRefs>
    <ds:schemaRef ds:uri="http://schemas.microsoft.com/sharepoint/v3/contenttype/forms"/>
  </ds:schemaRefs>
</ds:datastoreItem>
</file>

<file path=customXml/itemProps2.xml><?xml version="1.0" encoding="utf-8"?>
<ds:datastoreItem xmlns:ds="http://schemas.openxmlformats.org/officeDocument/2006/customXml" ds:itemID="{EEEEF62D-ADC2-480C-876D-F7F49ED3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895e0-9d79-446f-888b-6fbb957f3ae9"/>
    <ds:schemaRef ds:uri="329a7f36-8547-4ac8-8427-4c19809a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Lally</dc:creator>
  <cp:keywords/>
  <dc:description/>
  <cp:lastModifiedBy>Francesca Davies-Ruocco</cp:lastModifiedBy>
  <cp:revision>5</cp:revision>
  <dcterms:created xsi:type="dcterms:W3CDTF">2023-03-02T16:15:00Z</dcterms:created>
  <dcterms:modified xsi:type="dcterms:W3CDTF">2023-03-28T12:22:00Z</dcterms:modified>
</cp:coreProperties>
</file>