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D3964" w14:textId="2FE4E6D9" w:rsidR="00230132" w:rsidRDefault="00832AB2" w:rsidP="00DB4EF0">
      <w:pPr>
        <w:pStyle w:val="AZ-PCompany"/>
        <w:ind w:left="-993"/>
      </w:pPr>
      <w:r>
        <w:t>PRESS RELEASE</w:t>
      </w:r>
    </w:p>
    <w:p w14:paraId="1F0595AB" w14:textId="58EBDC18" w:rsidR="00DB4EF0" w:rsidRPr="00851E48" w:rsidRDefault="00DB4EF0" w:rsidP="00DB4EF0">
      <w:pPr>
        <w:keepNext/>
        <w:keepLines/>
        <w:spacing w:line="240" w:lineRule="auto"/>
        <w:ind w:left="993" w:hanging="1955"/>
        <w:outlineLvl w:val="0"/>
        <w:rPr>
          <w:rFonts w:eastAsia="Times New Roman" w:cs="Allianz Neo"/>
          <w:color w:val="003781"/>
          <w:spacing w:val="-80"/>
          <w:sz w:val="90"/>
          <w:szCs w:val="90"/>
        </w:rPr>
      </w:pPr>
      <w:r w:rsidRPr="00851E48">
        <w:rPr>
          <w:rFonts w:eastAsia="Times New Roman" w:cs="Allianz Neo"/>
          <w:color w:val="003781"/>
          <w:spacing w:val="-80"/>
          <w:sz w:val="90"/>
          <w:szCs w:val="90"/>
        </w:rPr>
        <w:t xml:space="preserve">Allianz Trade </w:t>
      </w:r>
      <w:r w:rsidR="00851E48">
        <w:rPr>
          <w:rFonts w:eastAsia="Times New Roman" w:cs="Allianz Neo"/>
          <w:color w:val="003781"/>
          <w:spacing w:val="-80"/>
          <w:sz w:val="90"/>
          <w:szCs w:val="90"/>
        </w:rPr>
        <w:t>- Outlook 23-24</w:t>
      </w:r>
    </w:p>
    <w:p w14:paraId="344B957E" w14:textId="4AF8F01B" w:rsidR="00DB4EF0" w:rsidRPr="00851E48" w:rsidRDefault="00851E48" w:rsidP="00DB4EF0">
      <w:pPr>
        <w:keepNext/>
        <w:keepLines/>
        <w:spacing w:line="240" w:lineRule="auto"/>
        <w:ind w:left="284"/>
        <w:outlineLvl w:val="0"/>
        <w:rPr>
          <w:rFonts w:eastAsia="Times New Roman" w:cs="Allianz Neo"/>
          <w:color w:val="003781"/>
          <w:spacing w:val="-80"/>
          <w:sz w:val="90"/>
          <w:szCs w:val="90"/>
        </w:rPr>
      </w:pPr>
      <w:r>
        <w:rPr>
          <w:rFonts w:eastAsia="Times New Roman" w:cs="Allianz Neo"/>
          <w:color w:val="13A0D3"/>
          <w:spacing w:val="-80"/>
          <w:sz w:val="90"/>
          <w:szCs w:val="90"/>
        </w:rPr>
        <w:t>Keep calm and carry on</w:t>
      </w:r>
    </w:p>
    <w:p w14:paraId="7B78ECBE" w14:textId="77777777" w:rsidR="00DB4EF0" w:rsidRDefault="00DB4EF0" w:rsidP="00D61CB3">
      <w:pPr>
        <w:pStyle w:val="AZ-PCompany"/>
        <w:ind w:left="-624"/>
      </w:pPr>
    </w:p>
    <w:p w14:paraId="4F524217" w14:textId="3F59A112" w:rsidR="005130D9" w:rsidRDefault="00851E48" w:rsidP="00851E48">
      <w:pPr>
        <w:pStyle w:val="AZ-PCompany"/>
        <w:ind w:left="0"/>
        <w:jc w:val="center"/>
        <w:rPr>
          <w:rStyle w:val="AZ-TBrandColorBlue3"/>
          <w:iCs/>
          <w:color w:val="2F5496" w:themeColor="accent1" w:themeShade="BF"/>
        </w:rPr>
      </w:pPr>
      <w:bookmarkStart w:id="0" w:name="_Hlk103928172"/>
      <w:r w:rsidRPr="00832AB2">
        <w:rPr>
          <w:noProof/>
          <w:sz w:val="28"/>
          <w:szCs w:val="28"/>
          <w:lang w:eastAsia="en-GB"/>
        </w:rPr>
        <mc:AlternateContent>
          <mc:Choice Requires="wps">
            <w:drawing>
              <wp:anchor distT="0" distB="0" distL="114300" distR="114300" simplePos="0" relativeHeight="251660288" behindDoc="0" locked="1" layoutInCell="1" allowOverlap="1" wp14:anchorId="5DE3C6C0" wp14:editId="651E1B66">
                <wp:simplePos x="0" y="0"/>
                <wp:positionH relativeFrom="page">
                  <wp:posOffset>227965</wp:posOffset>
                </wp:positionH>
                <wp:positionV relativeFrom="page">
                  <wp:posOffset>5105400</wp:posOffset>
                </wp:positionV>
                <wp:extent cx="1101725" cy="887095"/>
                <wp:effectExtent l="0" t="0" r="3175" b="8255"/>
                <wp:wrapNone/>
                <wp:docPr id="1"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887095"/>
                        </a:xfrm>
                        <a:prstGeom prst="rect">
                          <a:avLst/>
                        </a:prstGeom>
                        <a:noFill/>
                        <a:ln w="6350">
                          <a:noFill/>
                        </a:ln>
                      </wps:spPr>
                      <wps:txbx>
                        <w:txbxContent>
                          <w:p w14:paraId="7DED2ACF" w14:textId="4C1E9198" w:rsidR="00851E48" w:rsidRPr="008F282A" w:rsidRDefault="00C05E01" w:rsidP="00851E48">
                            <w:pPr>
                              <w:pStyle w:val="AZ-PDate"/>
                              <w:rPr>
                                <w:color w:val="003781"/>
                              </w:rPr>
                            </w:pPr>
                            <w:r>
                              <w:rPr>
                                <w:color w:val="003781"/>
                                <w:lang w:val="de-DE"/>
                              </w:rPr>
                              <w:t>02 January, 2023</w:t>
                            </w:r>
                          </w:p>
                          <w:p w14:paraId="0E903AE4" w14:textId="77777777" w:rsidR="00851E48" w:rsidRPr="008F282A" w:rsidRDefault="00851E48" w:rsidP="00851E48">
                            <w:pPr>
                              <w:pStyle w:val="AZ-PDate"/>
                              <w:rPr>
                                <w:color w:val="003781"/>
                              </w:rPr>
                            </w:pPr>
                            <w:r>
                              <w:rPr>
                                <w:color w:val="003781"/>
                              </w:rPr>
                              <w:t>London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3C6C0" id="_x0000_t202" coordsize="21600,21600" o:spt="202" path="m,l,21600r21600,l21600,xe">
                <v:stroke joinstyle="miter"/>
                <v:path gradientshapeok="t" o:connecttype="rect"/>
              </v:shapetype>
              <v:shape id="Textfeld 5" o:spid="_x0000_s1026" type="#_x0000_t202" style="position:absolute;left:0;text-align:left;margin-left:17.95pt;margin-top:402pt;width:86.75pt;height:6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" filled="f" stroked="f" strokeweight=".5pt">
                <v:path arrowok="t"/>
                <v:textbox inset="0,0,0,0">
                  <w:txbxContent>
                    <w:p w14:paraId="7DED2ACF" w14:textId="4C1E9198" w:rsidR="00851E48" w:rsidRPr="008F282A" w:rsidRDefault="00C05E01" w:rsidP="00851E48">
                      <w:pPr>
                        <w:pStyle w:val="AZ-PDate"/>
                        <w:rPr>
                          <w:color w:val="003781"/>
                        </w:rPr>
                      </w:pPr>
                      <w:r>
                        <w:rPr>
                          <w:color w:val="003781"/>
                          <w:lang w:val="de-DE"/>
                        </w:rPr>
                        <w:t>02 January, 2023</w:t>
                      </w:r>
                    </w:p>
                    <w:p w14:paraId="0E903AE4" w14:textId="77777777" w:rsidR="00851E48" w:rsidRPr="008F282A" w:rsidRDefault="00851E48" w:rsidP="00851E48">
                      <w:pPr>
                        <w:pStyle w:val="AZ-PDate"/>
                        <w:rPr>
                          <w:color w:val="003781"/>
                        </w:rPr>
                      </w:pPr>
                      <w:r>
                        <w:rPr>
                          <w:color w:val="003781"/>
                        </w:rPr>
                        <w:t>London</w:t>
                      </w:r>
                    </w:p>
                  </w:txbxContent>
                </v:textbox>
                <w10:wrap anchorx="page" anchory="page"/>
                <w10:anchorlock/>
              </v:shape>
            </w:pict>
          </mc:Fallback>
        </mc:AlternateContent>
      </w:r>
      <w:r>
        <w:rPr>
          <w:b/>
          <w:bCs/>
          <w:noProof/>
          <w:sz w:val="28"/>
          <w:szCs w:val="28"/>
          <w:lang w:val="en-US" w:eastAsia="fr-FR"/>
        </w:rPr>
        <w:t>UK TO MIRROR GLOBAL RECESSION in 2023</w:t>
      </w:r>
    </w:p>
    <w:p w14:paraId="15C0CB79" w14:textId="5CC8CA31" w:rsidR="00851E48" w:rsidRPr="00851E48" w:rsidRDefault="00851E48" w:rsidP="00851E48">
      <w:pPr>
        <w:pStyle w:val="ListParagraph"/>
        <w:numPr>
          <w:ilvl w:val="0"/>
          <w:numId w:val="8"/>
        </w:numPr>
        <w:spacing w:line="240" w:lineRule="auto"/>
        <w:jc w:val="both"/>
        <w:rPr>
          <w:rStyle w:val="AZ-TBrandColorBlue3"/>
          <w:iCs/>
          <w:color w:val="2F5496" w:themeColor="accent1" w:themeShade="BF"/>
        </w:rPr>
      </w:pPr>
      <w:r w:rsidRPr="00851E48">
        <w:rPr>
          <w:rStyle w:val="AZ-TBrandColorBlue3"/>
          <w:iCs/>
          <w:color w:val="2F5496" w:themeColor="accent1" w:themeShade="BF"/>
        </w:rPr>
        <w:t>Increased corporate risk to surface in 1H</w:t>
      </w:r>
      <w:r w:rsidR="00FC2FA0">
        <w:rPr>
          <w:rStyle w:val="AZ-TBrandColorBlue3"/>
          <w:iCs/>
          <w:color w:val="2F5496" w:themeColor="accent1" w:themeShade="BF"/>
        </w:rPr>
        <w:t xml:space="preserve"> 20</w:t>
      </w:r>
      <w:r w:rsidRPr="00851E48">
        <w:rPr>
          <w:rStyle w:val="AZ-TBrandColorBlue3"/>
          <w:iCs/>
          <w:color w:val="2F5496" w:themeColor="accent1" w:themeShade="BF"/>
        </w:rPr>
        <w:t>23</w:t>
      </w:r>
    </w:p>
    <w:p w14:paraId="204AAAC3" w14:textId="77777777" w:rsidR="00851E48" w:rsidRPr="00851E48" w:rsidRDefault="00851E48" w:rsidP="00851E48">
      <w:pPr>
        <w:pStyle w:val="ListParagraph"/>
        <w:numPr>
          <w:ilvl w:val="0"/>
          <w:numId w:val="8"/>
        </w:numPr>
        <w:spacing w:line="240" w:lineRule="auto"/>
        <w:jc w:val="both"/>
        <w:rPr>
          <w:rStyle w:val="AZ-TBrandColorBlue3"/>
          <w:iCs/>
          <w:color w:val="2F5496" w:themeColor="accent1" w:themeShade="BF"/>
        </w:rPr>
      </w:pPr>
      <w:r w:rsidRPr="00851E48">
        <w:rPr>
          <w:rStyle w:val="AZ-TBrandColorBlue3"/>
          <w:iCs/>
          <w:color w:val="2F5496" w:themeColor="accent1" w:themeShade="BF"/>
        </w:rPr>
        <w:t>UK economy to experience deepest recession amongst large economies</w:t>
      </w:r>
    </w:p>
    <w:p w14:paraId="6B85D174" w14:textId="088E3096" w:rsidR="00851E48" w:rsidRPr="00851E48" w:rsidRDefault="00851E48" w:rsidP="00851E48">
      <w:pPr>
        <w:pStyle w:val="ListParagraph"/>
        <w:numPr>
          <w:ilvl w:val="0"/>
          <w:numId w:val="8"/>
        </w:numPr>
        <w:spacing w:line="240" w:lineRule="auto"/>
        <w:jc w:val="both"/>
        <w:rPr>
          <w:rStyle w:val="AZ-TBrandColorBlue3"/>
          <w:iCs/>
          <w:color w:val="2F5496" w:themeColor="accent1" w:themeShade="BF"/>
        </w:rPr>
      </w:pPr>
      <w:r w:rsidRPr="00851E48">
        <w:rPr>
          <w:rStyle w:val="AZ-TBrandColorBlue3"/>
          <w:iCs/>
          <w:color w:val="2F5496" w:themeColor="accent1" w:themeShade="BF"/>
        </w:rPr>
        <w:t>UK business insolven</w:t>
      </w:r>
      <w:r w:rsidR="002833E6">
        <w:rPr>
          <w:rStyle w:val="AZ-TBrandColorBlue3"/>
          <w:iCs/>
          <w:color w:val="2F5496" w:themeColor="accent1" w:themeShade="BF"/>
        </w:rPr>
        <w:t>cies to increase by +51% in 2022</w:t>
      </w:r>
      <w:r w:rsidRPr="00851E48">
        <w:rPr>
          <w:rStyle w:val="AZ-TBrandColorBlue3"/>
          <w:iCs/>
          <w:color w:val="2F5496" w:themeColor="accent1" w:themeShade="BF"/>
        </w:rPr>
        <w:t>, and by +15% in 2023</w:t>
      </w:r>
    </w:p>
    <w:p w14:paraId="07C14E73" w14:textId="77777777" w:rsidR="00851E48" w:rsidRPr="00851E48" w:rsidRDefault="00851E48" w:rsidP="00851E48">
      <w:pPr>
        <w:pStyle w:val="ListParagraph"/>
        <w:numPr>
          <w:ilvl w:val="0"/>
          <w:numId w:val="8"/>
        </w:numPr>
        <w:spacing w:line="240" w:lineRule="auto"/>
        <w:jc w:val="both"/>
        <w:rPr>
          <w:rStyle w:val="AZ-TBrandColorBlue3"/>
          <w:iCs/>
          <w:color w:val="2F5496" w:themeColor="accent1" w:themeShade="BF"/>
        </w:rPr>
      </w:pPr>
      <w:r w:rsidRPr="00851E48">
        <w:rPr>
          <w:rStyle w:val="AZ-TBrandColorBlue3"/>
          <w:iCs/>
          <w:color w:val="2F5496" w:themeColor="accent1" w:themeShade="BF"/>
        </w:rPr>
        <w:t>Global growth: still headed towards a recession next year</w:t>
      </w:r>
    </w:p>
    <w:p w14:paraId="1DEB3645" w14:textId="77777777" w:rsidR="00851E48" w:rsidRPr="00851E48" w:rsidRDefault="00851E48" w:rsidP="00851E48">
      <w:pPr>
        <w:pStyle w:val="ListParagraph"/>
        <w:numPr>
          <w:ilvl w:val="0"/>
          <w:numId w:val="8"/>
        </w:numPr>
        <w:spacing w:line="240" w:lineRule="auto"/>
        <w:jc w:val="both"/>
        <w:rPr>
          <w:rStyle w:val="AZ-TBrandColorBlue3"/>
          <w:iCs/>
          <w:color w:val="2F5496" w:themeColor="accent1" w:themeShade="BF"/>
        </w:rPr>
      </w:pPr>
      <w:r w:rsidRPr="00851E48">
        <w:rPr>
          <w:rStyle w:val="AZ-TBrandColorBlue3"/>
          <w:iCs/>
          <w:color w:val="2F5496" w:themeColor="accent1" w:themeShade="BF"/>
        </w:rPr>
        <w:t>Global trade to decline in 2023, recover in 2024</w:t>
      </w:r>
    </w:p>
    <w:p w14:paraId="4D31A4B5" w14:textId="476C796D" w:rsidR="00851E48" w:rsidRDefault="00851E48" w:rsidP="00851E48">
      <w:pPr>
        <w:spacing w:line="240" w:lineRule="auto"/>
      </w:pPr>
      <w:r>
        <w:t>Global growth is heading</w:t>
      </w:r>
      <w:r w:rsidRPr="00F73967">
        <w:t xml:space="preserve"> towards a recession</w:t>
      </w:r>
      <w:r>
        <w:t>, and global trade will continue to slow in 2023, according to leading trade credit insurer Allianz Trade. Meanwhile</w:t>
      </w:r>
      <w:r w:rsidR="00C05E01">
        <w:t xml:space="preserve"> the UK will muddle through </w:t>
      </w:r>
      <w:proofErr w:type="gramStart"/>
      <w:r w:rsidR="00C05E01">
        <w:t xml:space="preserve">this </w:t>
      </w:r>
      <w:r>
        <w:t xml:space="preserve"> year’s</w:t>
      </w:r>
      <w:proofErr w:type="gramEnd"/>
      <w:r>
        <w:t xml:space="preserve"> headwinds of high inflation, labour shortages, increased corporate risk, and an increase in business insolvencies.</w:t>
      </w:r>
    </w:p>
    <w:p w14:paraId="04887F5C" w14:textId="77777777" w:rsidR="00851E48" w:rsidRDefault="00851E48" w:rsidP="00851E48">
      <w:pPr>
        <w:spacing w:line="240" w:lineRule="auto"/>
      </w:pPr>
    </w:p>
    <w:p w14:paraId="038AAA77" w14:textId="77777777" w:rsidR="00851E48" w:rsidRPr="002B15E5" w:rsidRDefault="00851E48" w:rsidP="00851E48">
      <w:pPr>
        <w:spacing w:line="240" w:lineRule="auto"/>
        <w:rPr>
          <w:b/>
        </w:rPr>
      </w:pPr>
      <w:r w:rsidRPr="002B15E5">
        <w:rPr>
          <w:b/>
        </w:rPr>
        <w:t>Global corporate risk</w:t>
      </w:r>
    </w:p>
    <w:p w14:paraId="79BA59FD" w14:textId="77777777" w:rsidR="00851E48" w:rsidRPr="002B15E5" w:rsidRDefault="00851E48" w:rsidP="00851E48">
      <w:pPr>
        <w:spacing w:line="240" w:lineRule="auto"/>
      </w:pPr>
      <w:r w:rsidRPr="002B15E5">
        <w:t>The confluence of slower growth, higher inflation, wag</w:t>
      </w:r>
      <w:r>
        <w:t>e</w:t>
      </w:r>
      <w:r w:rsidRPr="002B15E5">
        <w:t xml:space="preserve"> bills and interest rates has increased corporate risks, mainly in the construction, transportation, telecom, machinery and equipment, retail, household equipment, electronics, automotive and textiles sectors. </w:t>
      </w:r>
    </w:p>
    <w:p w14:paraId="7D1B390A" w14:textId="77777777" w:rsidR="00851E48" w:rsidRPr="002B15E5" w:rsidRDefault="00851E48" w:rsidP="00851E48">
      <w:pPr>
        <w:spacing w:line="240" w:lineRule="auto"/>
      </w:pPr>
    </w:p>
    <w:p w14:paraId="186837D6" w14:textId="77777777" w:rsidR="00851E48" w:rsidRPr="002B15E5" w:rsidRDefault="00851E48" w:rsidP="00851E48">
      <w:pPr>
        <w:spacing w:line="240" w:lineRule="auto"/>
      </w:pPr>
      <w:r w:rsidRPr="002B15E5">
        <w:t xml:space="preserve">The energy crisis </w:t>
      </w:r>
      <w:r>
        <w:t xml:space="preserve">creates </w:t>
      </w:r>
      <w:r w:rsidRPr="002B15E5">
        <w:t xml:space="preserve">a massive profitability shock for European firms, which governments can only partially offset. The fiscal packages that have been put on the table for corporates are enough to avoid a strong wave of insolvencies due to profitability losses in most impacted sectors (metals, paper, machinery and equipment, wood, mining) but they will not offset fully the estimated extra energy bill of over EUR150bn for French, German, Italian, Spanish and British corporates. </w:t>
      </w:r>
    </w:p>
    <w:p w14:paraId="7132C250" w14:textId="77777777" w:rsidR="00851E48" w:rsidRDefault="00851E48" w:rsidP="00851E48">
      <w:pPr>
        <w:spacing w:line="240" w:lineRule="auto"/>
      </w:pPr>
    </w:p>
    <w:p w14:paraId="43557265" w14:textId="77777777" w:rsidR="00851E48" w:rsidRPr="00684313" w:rsidRDefault="00851E48" w:rsidP="00851E48">
      <w:pPr>
        <w:spacing w:line="240" w:lineRule="auto"/>
        <w:rPr>
          <w:b/>
        </w:rPr>
      </w:pPr>
      <w:r w:rsidRPr="00684313">
        <w:rPr>
          <w:b/>
        </w:rPr>
        <w:t>UK muddling through recession 2023-24</w:t>
      </w:r>
    </w:p>
    <w:p w14:paraId="401265EE" w14:textId="77777777" w:rsidR="00851E48" w:rsidRPr="00684313" w:rsidRDefault="00851E48" w:rsidP="00851E48">
      <w:pPr>
        <w:spacing w:line="240" w:lineRule="auto"/>
      </w:pPr>
      <w:r w:rsidRPr="00684313">
        <w:t xml:space="preserve">The UK economy is forecast to fall into a recession in 2023, driven by tighter financing conditions, further increases in energy bills and weak consumer confidence, before finding a weak recovery in 2024, according to Allianz Trade. </w:t>
      </w:r>
    </w:p>
    <w:p w14:paraId="1CDD421D" w14:textId="77777777" w:rsidR="00851E48" w:rsidRPr="00684313" w:rsidRDefault="00851E48" w:rsidP="00851E48">
      <w:pPr>
        <w:spacing w:line="240" w:lineRule="auto"/>
      </w:pPr>
    </w:p>
    <w:p w14:paraId="6F3E2687" w14:textId="77777777" w:rsidR="00851E48" w:rsidRDefault="00851E48" w:rsidP="00851E48">
      <w:pPr>
        <w:spacing w:line="240" w:lineRule="auto"/>
      </w:pPr>
      <w:r w:rsidRPr="00684313">
        <w:t>In 2023, the UK economy will shrink by -0.9%, compared to just -0.3% for the USA, and the -0.4% across the Eurozone. By contrast, global GDP will grow +1.9% next year, driven mainly by the emerging market regions such Asia-Pacific, Middle East, Africa.</w:t>
      </w:r>
    </w:p>
    <w:p w14:paraId="3E58FAA2" w14:textId="4B26F62B" w:rsidR="00851E48" w:rsidRDefault="00851E48" w:rsidP="00851E48">
      <w:pPr>
        <w:spacing w:line="240" w:lineRule="auto"/>
      </w:pPr>
    </w:p>
    <w:p w14:paraId="2DE517FA" w14:textId="17DA2FA8" w:rsidR="00036514" w:rsidRDefault="00036514">
      <w:pPr>
        <w:spacing w:line="240" w:lineRule="auto"/>
      </w:pPr>
      <w:bookmarkStart w:id="1" w:name="_GoBack"/>
      <w:bookmarkEnd w:id="1"/>
      <w:r>
        <w:br w:type="page"/>
      </w:r>
    </w:p>
    <w:p w14:paraId="2863050B" w14:textId="77777777" w:rsidR="00036514" w:rsidRDefault="00036514" w:rsidP="00851E48">
      <w:pPr>
        <w:spacing w:line="240" w:lineRule="auto"/>
      </w:pPr>
    </w:p>
    <w:p w14:paraId="769400C6" w14:textId="77777777" w:rsidR="00851E48" w:rsidRDefault="00851E48" w:rsidP="00851E48">
      <w:pPr>
        <w:spacing w:line="240" w:lineRule="auto"/>
      </w:pPr>
      <w:r>
        <w:t xml:space="preserve">As well as a reduction in grants to households and a loosening of the tariff shield on retail energy prices, the UK will also feel the negative effects of a sharp interest rate shock by the middle of 2023. Household bank loan rates are expected to rise nearly 300bp, hitting household </w:t>
      </w:r>
      <w:r w:rsidRPr="00FF05F2">
        <w:t>purchasin</w:t>
      </w:r>
      <w:r>
        <w:t>g power at a level similar to the energy price rises pre-state aid.</w:t>
      </w:r>
    </w:p>
    <w:p w14:paraId="26EEA9A9" w14:textId="77777777" w:rsidR="00851E48" w:rsidRDefault="00851E48" w:rsidP="00851E48">
      <w:pPr>
        <w:spacing w:line="240" w:lineRule="auto"/>
      </w:pPr>
    </w:p>
    <w:p w14:paraId="2CEF8A71" w14:textId="77777777" w:rsidR="00851E48" w:rsidRDefault="00851E48" w:rsidP="00851E48">
      <w:pPr>
        <w:spacing w:line="240" w:lineRule="auto"/>
      </w:pPr>
      <w:r>
        <w:t>Business investment is forecast to</w:t>
      </w:r>
      <w:r w:rsidRPr="00860A05">
        <w:t xml:space="preserve"> </w:t>
      </w:r>
      <w:r>
        <w:t>drop</w:t>
      </w:r>
      <w:r w:rsidRPr="00860A05">
        <w:t xml:space="preserve"> </w:t>
      </w:r>
      <w:r>
        <w:t xml:space="preserve">next year </w:t>
      </w:r>
      <w:r w:rsidRPr="00860A05">
        <w:t>due to lower confidence and lack of fiscal support</w:t>
      </w:r>
      <w:r>
        <w:t xml:space="preserve">, although cash buffers, up 36% since 2019, will provide corporates with significant support during the downturn and the hit to margins from interest rate rises. </w:t>
      </w:r>
    </w:p>
    <w:p w14:paraId="7C9EE6EA" w14:textId="77777777" w:rsidR="00851E48" w:rsidRPr="007A4EF1" w:rsidRDefault="00851E48" w:rsidP="00851E48">
      <w:pPr>
        <w:spacing w:line="240" w:lineRule="auto"/>
      </w:pPr>
    </w:p>
    <w:p w14:paraId="770DA55A" w14:textId="13688EC9" w:rsidR="00851E48" w:rsidRDefault="00851E48" w:rsidP="00851E48">
      <w:pPr>
        <w:spacing w:line="240" w:lineRule="auto"/>
      </w:pPr>
      <w:r w:rsidRPr="003831FB">
        <w:t xml:space="preserve">Along </w:t>
      </w:r>
      <w:r>
        <w:t xml:space="preserve">with </w:t>
      </w:r>
      <w:r w:rsidRPr="003831FB">
        <w:t xml:space="preserve">Spain, the UK </w:t>
      </w:r>
      <w:r>
        <w:t>is leading</w:t>
      </w:r>
      <w:r w:rsidRPr="003831FB">
        <w:t xml:space="preserve"> the rebound in </w:t>
      </w:r>
      <w:r>
        <w:t xml:space="preserve">business </w:t>
      </w:r>
      <w:r w:rsidRPr="003831FB">
        <w:t>insolvencies in Europe</w:t>
      </w:r>
      <w:r>
        <w:t>. In the UK, insolvencies are up +66% year to date compared to 2021, and up +22% versus 2019. The trade credit insurance underwriter forecasts insolvencies will increase</w:t>
      </w:r>
      <w:r w:rsidRPr="003831FB">
        <w:t xml:space="preserve"> to 24,700 cases in 2022 (+51%) and more than 27,100 in 2023</w:t>
      </w:r>
      <w:r w:rsidR="00036514">
        <w:t xml:space="preserve"> </w:t>
      </w:r>
      <w:r>
        <w:t xml:space="preserve">(+15%). </w:t>
      </w:r>
    </w:p>
    <w:p w14:paraId="618D61C2" w14:textId="77777777" w:rsidR="00851E48" w:rsidRDefault="00851E48" w:rsidP="00851E48">
      <w:pPr>
        <w:spacing w:line="240" w:lineRule="auto"/>
      </w:pPr>
    </w:p>
    <w:p w14:paraId="07EC3742" w14:textId="77777777" w:rsidR="00851E48" w:rsidRPr="00036514" w:rsidRDefault="00851E48" w:rsidP="00851E48">
      <w:pPr>
        <w:spacing w:line="240" w:lineRule="auto"/>
      </w:pPr>
      <w:r w:rsidRPr="00684313">
        <w:t xml:space="preserve">“The climb in insolvencies is driven by a sharp increase in liquidations, suggesting that businesses which were struggling either before or during pandemic lockdowns have simply chosen to close rather than attempt to restructure or sell,” </w:t>
      </w:r>
      <w:r w:rsidRPr="00684313">
        <w:rPr>
          <w:i/>
        </w:rPr>
        <w:t xml:space="preserve">said </w:t>
      </w:r>
      <w:r w:rsidRPr="00684313">
        <w:rPr>
          <w:b/>
          <w:i/>
        </w:rPr>
        <w:t>Maxime Darmet, senior economist, France the US and UK, Allianz Trade</w:t>
      </w:r>
      <w:r w:rsidRPr="00036514">
        <w:t>.</w:t>
      </w:r>
    </w:p>
    <w:p w14:paraId="0C10820C" w14:textId="77777777" w:rsidR="00851E48" w:rsidRPr="00036514" w:rsidRDefault="00851E48" w:rsidP="00851E48">
      <w:pPr>
        <w:spacing w:line="240" w:lineRule="auto"/>
      </w:pPr>
    </w:p>
    <w:p w14:paraId="7059BA22" w14:textId="3C928F9B" w:rsidR="00851E48" w:rsidRDefault="00851E48" w:rsidP="00851E48">
      <w:pPr>
        <w:spacing w:line="240" w:lineRule="auto"/>
      </w:pPr>
      <w:r>
        <w:t xml:space="preserve">Insolvency rates are still increasing </w:t>
      </w:r>
      <w:r w:rsidRPr="00F13EB7">
        <w:t xml:space="preserve">in </w:t>
      </w:r>
      <w:r>
        <w:t xml:space="preserve">the </w:t>
      </w:r>
      <w:r w:rsidRPr="00F13EB7">
        <w:t>hotels and restaurants</w:t>
      </w:r>
      <w:r>
        <w:t xml:space="preserve"> sectors, while construction, training companies, transport and storage, and finical and real estate businesses have also been </w:t>
      </w:r>
      <w:r w:rsidR="00036514">
        <w:t xml:space="preserve">hit </w:t>
      </w:r>
      <w:r>
        <w:t xml:space="preserve">hard. </w:t>
      </w:r>
    </w:p>
    <w:p w14:paraId="3D4697E6" w14:textId="77777777" w:rsidR="00851E48" w:rsidRDefault="00851E48" w:rsidP="00851E48">
      <w:pPr>
        <w:spacing w:line="240" w:lineRule="auto"/>
      </w:pPr>
    </w:p>
    <w:p w14:paraId="583E1B9C" w14:textId="77777777" w:rsidR="00851E48" w:rsidRDefault="00851E48" w:rsidP="00851E48">
      <w:pPr>
        <w:spacing w:line="240" w:lineRule="auto"/>
      </w:pPr>
      <w:r>
        <w:t xml:space="preserve">“We give firms trust to trade by insuring global business transactions representing €1 trillion in exposure globally,” </w:t>
      </w:r>
      <w:r>
        <w:rPr>
          <w:i/>
        </w:rPr>
        <w:t xml:space="preserve">said </w:t>
      </w:r>
      <w:r w:rsidRPr="00851E48">
        <w:rPr>
          <w:b/>
          <w:i/>
        </w:rPr>
        <w:t>Sarah Murrow, chief executive, Allianz Trade in the UK and Ireland</w:t>
      </w:r>
      <w:r w:rsidRPr="00036514">
        <w:t xml:space="preserve">. </w:t>
      </w:r>
      <w:r>
        <w:t>“The increase in UK insolvencies reflects two things. First, the all too evident current trends of inflationary pressures, monetary tightening, energy costs, interest rate hikes and supply chain disruptions. Second, the reversion to and move beyond historic trends of the artificially low levels seen during the pandemic. More than ever businesses should take care to protect their sales ledgers and cashflow from the risks of late or non-payment.”</w:t>
      </w:r>
    </w:p>
    <w:p w14:paraId="61B60D55" w14:textId="77777777" w:rsidR="00851E48" w:rsidRDefault="00851E48" w:rsidP="00851E48">
      <w:pPr>
        <w:spacing w:line="240" w:lineRule="auto"/>
      </w:pPr>
    </w:p>
    <w:p w14:paraId="202A51AB" w14:textId="77777777" w:rsidR="00851E48" w:rsidRPr="00EE708D" w:rsidRDefault="00851E48" w:rsidP="00851E48">
      <w:pPr>
        <w:spacing w:line="240" w:lineRule="auto"/>
        <w:rPr>
          <w:b/>
        </w:rPr>
      </w:pPr>
      <w:r w:rsidRPr="00EE708D">
        <w:rPr>
          <w:b/>
        </w:rPr>
        <w:t>Global GDP</w:t>
      </w:r>
    </w:p>
    <w:p w14:paraId="128BD428" w14:textId="4D1D61FF" w:rsidR="00851E48" w:rsidRDefault="00036514" w:rsidP="00851E48">
      <w:pPr>
        <w:spacing w:line="240" w:lineRule="auto"/>
      </w:pPr>
      <w:r>
        <w:t>In its</w:t>
      </w:r>
      <w:r w:rsidR="00851E48">
        <w:t xml:space="preserve"> </w:t>
      </w:r>
      <w:hyperlink r:id="rId12" w:history="1">
        <w:r w:rsidR="00851E48" w:rsidRPr="00851E48">
          <w:rPr>
            <w:rStyle w:val="Hyperlink"/>
          </w:rPr>
          <w:t>Economic Outlook 23-24: Keep calm and carry on</w:t>
        </w:r>
      </w:hyperlink>
      <w:r w:rsidR="00851E48" w:rsidRPr="002B15E5">
        <w:t xml:space="preserve">, </w:t>
      </w:r>
      <w:r w:rsidR="00851E48">
        <w:t>Allianz Trade anticipates global GDP growth will slow to +1.4% in 2023 (+2.9% in 2022) and recover modestly to +2.8% in 2024, with significant divergence across countries. Advanced economies will register a shallow recession of -0.1% in 2023 (after growth of +2.5% in 2022), followed by a rebound to below-potential growth of +1.5% in 2024.</w:t>
      </w:r>
    </w:p>
    <w:p w14:paraId="1956BD81" w14:textId="77777777" w:rsidR="00851E48" w:rsidRDefault="00851E48" w:rsidP="00851E48">
      <w:pPr>
        <w:spacing w:line="240" w:lineRule="auto"/>
      </w:pPr>
    </w:p>
    <w:p w14:paraId="2FB0AF78" w14:textId="77777777" w:rsidR="00851E48" w:rsidRPr="00684313" w:rsidRDefault="00851E48" w:rsidP="00851E48">
      <w:pPr>
        <w:spacing w:line="240" w:lineRule="auto"/>
      </w:pPr>
      <w:r>
        <w:t xml:space="preserve">Emerging markets growth is expected to remain stable in 2023 at +3.3% – mainly supported by </w:t>
      </w:r>
      <w:r w:rsidRPr="00684313">
        <w:t>the cautious reopening of China, while most other emerging countries are likely to slow down due to both external and domestic headwinds. A rebound to +4.3% is expected in 2024.</w:t>
      </w:r>
    </w:p>
    <w:p w14:paraId="28484B83" w14:textId="77777777" w:rsidR="00851E48" w:rsidRPr="00684313" w:rsidRDefault="00851E48" w:rsidP="00851E48">
      <w:pPr>
        <w:spacing w:line="240" w:lineRule="auto"/>
      </w:pPr>
    </w:p>
    <w:p w14:paraId="7885ADEA" w14:textId="77777777" w:rsidR="00851E48" w:rsidRPr="00684313" w:rsidRDefault="00851E48" w:rsidP="00851E48">
      <w:pPr>
        <w:spacing w:line="240" w:lineRule="auto"/>
        <w:rPr>
          <w:b/>
        </w:rPr>
      </w:pPr>
      <w:r w:rsidRPr="00684313">
        <w:rPr>
          <w:b/>
        </w:rPr>
        <w:t>Global trade</w:t>
      </w:r>
    </w:p>
    <w:p w14:paraId="3B6DD53B" w14:textId="77777777" w:rsidR="00851E48" w:rsidRDefault="00851E48" w:rsidP="00851E48">
      <w:pPr>
        <w:spacing w:line="240" w:lineRule="auto"/>
      </w:pPr>
      <w:r w:rsidRPr="00684313">
        <w:rPr>
          <w:b/>
          <w:i/>
        </w:rPr>
        <w:t>Maxime Darmet added</w:t>
      </w:r>
      <w:r w:rsidRPr="00684313">
        <w:rPr>
          <w:i/>
        </w:rPr>
        <w:t>: “</w:t>
      </w:r>
      <w:r w:rsidRPr="00684313">
        <w:t>We believe global trade will continue to slow next year as industrial activity recedes. The manufacturing sector is likely to remain in recession in 2023 due to lower demand, mainly for consumer-driven industries,</w:t>
      </w:r>
      <w:r>
        <w:t xml:space="preserve"> and a more pronounced destocking process from corporates in sectors where oversupply is highest. The largest cliff-edge is expected in cyclical sectors such as construction, consumer goods, and retail.”</w:t>
      </w:r>
    </w:p>
    <w:p w14:paraId="7F9A0F92" w14:textId="07247609" w:rsidR="00851E48" w:rsidRDefault="00851E48" w:rsidP="00851E48">
      <w:pPr>
        <w:spacing w:line="240" w:lineRule="auto"/>
      </w:pPr>
    </w:p>
    <w:p w14:paraId="1CD0E6B4" w14:textId="682CFDE1" w:rsidR="00036514" w:rsidRDefault="00036514">
      <w:pPr>
        <w:spacing w:line="240" w:lineRule="auto"/>
      </w:pPr>
      <w:r>
        <w:br w:type="page"/>
      </w:r>
    </w:p>
    <w:p w14:paraId="21148080" w14:textId="77777777" w:rsidR="00036514" w:rsidRDefault="00036514" w:rsidP="00851E48">
      <w:pPr>
        <w:spacing w:line="240" w:lineRule="auto"/>
      </w:pPr>
    </w:p>
    <w:p w14:paraId="54545DC2" w14:textId="77777777" w:rsidR="00851E48" w:rsidRDefault="00851E48" w:rsidP="00851E48">
      <w:pPr>
        <w:spacing w:line="240" w:lineRule="auto"/>
      </w:pPr>
      <w:r>
        <w:t>Supply chains should continue to normalize next year, supported by slowing demand and China’s progressive reopening. Allianz expects global trade in goods and services to grow by only +0.7% in volume terms in 2023 and to contract by -1.3% in value terms (to USD29.5tn). A mild recovery should be possible in 2024, with global trade in goods and services growing by +3.6% in volume terms.</w:t>
      </w:r>
    </w:p>
    <w:p w14:paraId="439DAFEC" w14:textId="77777777" w:rsidR="00851E48" w:rsidRDefault="00851E48" w:rsidP="00851E48">
      <w:pPr>
        <w:spacing w:line="240" w:lineRule="auto"/>
      </w:pPr>
    </w:p>
    <w:p w14:paraId="1372BF6A" w14:textId="77777777" w:rsidR="00851E48" w:rsidRDefault="00851E48" w:rsidP="00851E48">
      <w:pPr>
        <w:spacing w:line="240" w:lineRule="auto"/>
      </w:pPr>
      <w:r>
        <w:t>Beyond the cyclical developments, trade and industrial policies will remain topical over the coming years. Policymakers across the world seem focused on taking action to secure supply chains. Not all trade participants will be hindered by such protectionist measures, but global trade may be heading towards lower growth rates in the coming years compared to the pre-pandemic long-term average.</w:t>
      </w:r>
    </w:p>
    <w:p w14:paraId="7D7236D0" w14:textId="4AFD8F3C" w:rsidR="00003049" w:rsidRPr="00E36ECB" w:rsidRDefault="00003049" w:rsidP="004269ED">
      <w:pPr>
        <w:jc w:val="both"/>
      </w:pPr>
    </w:p>
    <w:p w14:paraId="77FEA6DB" w14:textId="09D970C8" w:rsidR="00E45A6F" w:rsidRPr="00E36ECB" w:rsidRDefault="00E45A6F" w:rsidP="00D23ACC">
      <w:pPr>
        <w:rPr>
          <w:b/>
          <w:bCs/>
        </w:rPr>
      </w:pPr>
      <w:r w:rsidRPr="00E36ECB">
        <w:rPr>
          <w:b/>
          <w:bCs/>
        </w:rPr>
        <w:t>ENDS</w:t>
      </w:r>
    </w:p>
    <w:bookmarkEnd w:id="0"/>
    <w:p w14:paraId="2D9FCE08" w14:textId="5B343ADD" w:rsidR="009A0266" w:rsidRPr="00E36ECB" w:rsidRDefault="009A0266" w:rsidP="00A84B7A"/>
    <w:tbl>
      <w:tblPr>
        <w:tblW w:w="0" w:type="auto"/>
        <w:tblCellMar>
          <w:top w:w="28" w:type="dxa"/>
          <w:left w:w="0" w:type="dxa"/>
          <w:bottom w:w="28" w:type="dxa"/>
          <w:right w:w="0" w:type="dxa"/>
        </w:tblCellMar>
        <w:tblLook w:val="0600" w:firstRow="0" w:lastRow="0" w:firstColumn="0" w:lastColumn="0" w:noHBand="1" w:noVBand="1"/>
      </w:tblPr>
      <w:tblGrid>
        <w:gridCol w:w="4094"/>
        <w:gridCol w:w="4094"/>
      </w:tblGrid>
      <w:tr w:rsidR="00A84B7A" w:rsidRPr="00E36ECB" w14:paraId="3393663A" w14:textId="77777777" w:rsidTr="00851E48">
        <w:trPr>
          <w:trHeight w:val="248"/>
        </w:trPr>
        <w:tc>
          <w:tcPr>
            <w:tcW w:w="4094" w:type="dxa"/>
            <w:shd w:val="clear" w:color="auto" w:fill="auto"/>
            <w:vAlign w:val="center"/>
          </w:tcPr>
          <w:p w14:paraId="44D0791D" w14:textId="5E371E9A" w:rsidR="00A84B7A" w:rsidRPr="00851E48" w:rsidRDefault="00A84B7A" w:rsidP="00851E48">
            <w:pPr>
              <w:spacing w:line="240" w:lineRule="auto"/>
              <w:contextualSpacing/>
              <w:rPr>
                <w:b/>
                <w:bCs/>
                <w:color w:val="003781"/>
              </w:rPr>
            </w:pPr>
            <w:r w:rsidRPr="00E36ECB">
              <w:rPr>
                <w:b/>
                <w:bCs/>
                <w:color w:val="003781"/>
              </w:rPr>
              <w:t>Allianz Trade contact</w:t>
            </w:r>
            <w:r w:rsidR="00851E48">
              <w:rPr>
                <w:b/>
                <w:bCs/>
                <w:color w:val="003781"/>
              </w:rPr>
              <w:t>s</w:t>
            </w:r>
          </w:p>
        </w:tc>
        <w:tc>
          <w:tcPr>
            <w:tcW w:w="4094" w:type="dxa"/>
            <w:shd w:val="clear" w:color="auto" w:fill="auto"/>
            <w:vAlign w:val="center"/>
          </w:tcPr>
          <w:p w14:paraId="0B576A3D" w14:textId="6CEF70EF" w:rsidR="00284610" w:rsidRPr="00E36ECB" w:rsidRDefault="00284610" w:rsidP="00851E48">
            <w:pPr>
              <w:spacing w:line="240" w:lineRule="auto"/>
              <w:contextualSpacing/>
              <w:rPr>
                <w:color w:val="003781"/>
                <w:lang w:val="en-US"/>
              </w:rPr>
            </w:pPr>
          </w:p>
        </w:tc>
      </w:tr>
      <w:tr w:rsidR="00851E48" w:rsidRPr="00E36ECB" w14:paraId="1E948579" w14:textId="77777777" w:rsidTr="00851E48">
        <w:trPr>
          <w:trHeight w:val="249"/>
        </w:trPr>
        <w:tc>
          <w:tcPr>
            <w:tcW w:w="4094" w:type="dxa"/>
            <w:shd w:val="clear" w:color="auto" w:fill="auto"/>
            <w:vAlign w:val="center"/>
          </w:tcPr>
          <w:p w14:paraId="26E61615" w14:textId="47C3A8B2" w:rsidR="00851E48" w:rsidRPr="00851E48" w:rsidRDefault="00851E48" w:rsidP="00851E48">
            <w:pPr>
              <w:spacing w:line="240" w:lineRule="auto"/>
              <w:contextualSpacing/>
              <w:rPr>
                <w:color w:val="003781"/>
              </w:rPr>
            </w:pPr>
            <w:r w:rsidRPr="00E36ECB">
              <w:rPr>
                <w:color w:val="003781"/>
              </w:rPr>
              <w:t>Adrian Russell</w:t>
            </w:r>
          </w:p>
        </w:tc>
        <w:tc>
          <w:tcPr>
            <w:tcW w:w="4094" w:type="dxa"/>
            <w:shd w:val="clear" w:color="auto" w:fill="auto"/>
            <w:vAlign w:val="center"/>
          </w:tcPr>
          <w:p w14:paraId="63E9E21E" w14:textId="4837E3D6" w:rsidR="00851E48" w:rsidRPr="00E36ECB" w:rsidRDefault="00851E48" w:rsidP="00851E48">
            <w:pPr>
              <w:spacing w:line="240" w:lineRule="auto"/>
              <w:contextualSpacing/>
              <w:rPr>
                <w:color w:val="002060"/>
              </w:rPr>
            </w:pPr>
            <w:r>
              <w:rPr>
                <w:color w:val="002060"/>
              </w:rPr>
              <w:t>Neelam Bhangu</w:t>
            </w:r>
          </w:p>
        </w:tc>
      </w:tr>
      <w:tr w:rsidR="00851E48" w:rsidRPr="00E36ECB" w14:paraId="4038E8AE" w14:textId="77777777" w:rsidTr="00851E48">
        <w:trPr>
          <w:trHeight w:val="248"/>
        </w:trPr>
        <w:tc>
          <w:tcPr>
            <w:tcW w:w="4094" w:type="dxa"/>
            <w:shd w:val="clear" w:color="auto" w:fill="auto"/>
            <w:vAlign w:val="center"/>
          </w:tcPr>
          <w:p w14:paraId="57D1AD9F" w14:textId="6A76D48C" w:rsidR="00851E48" w:rsidRPr="00E36ECB" w:rsidRDefault="00851E48" w:rsidP="00851E48">
            <w:pPr>
              <w:spacing w:line="240" w:lineRule="auto"/>
              <w:contextualSpacing/>
              <w:rPr>
                <w:b/>
                <w:bCs/>
                <w:color w:val="003781"/>
              </w:rPr>
            </w:pPr>
            <w:r w:rsidRPr="00851E48">
              <w:rPr>
                <w:b/>
                <w:bCs/>
                <w:color w:val="003781"/>
              </w:rPr>
              <w:t>+44 (0)20 7860 2728</w:t>
            </w:r>
          </w:p>
        </w:tc>
        <w:tc>
          <w:tcPr>
            <w:tcW w:w="4094" w:type="dxa"/>
            <w:shd w:val="clear" w:color="auto" w:fill="auto"/>
            <w:vAlign w:val="center"/>
          </w:tcPr>
          <w:p w14:paraId="21FE9F7B" w14:textId="5540DA85" w:rsidR="00851E48" w:rsidRPr="00851E48" w:rsidRDefault="00851E48" w:rsidP="00851E48">
            <w:pPr>
              <w:spacing w:line="240" w:lineRule="auto"/>
              <w:contextualSpacing/>
              <w:rPr>
                <w:b/>
                <w:color w:val="002060"/>
              </w:rPr>
            </w:pPr>
            <w:r w:rsidRPr="00851E48">
              <w:rPr>
                <w:b/>
                <w:color w:val="002060"/>
              </w:rPr>
              <w:t xml:space="preserve">+44 (0)20 7860 </w:t>
            </w:r>
            <w:r w:rsidR="00FC2FA0">
              <w:rPr>
                <w:b/>
                <w:color w:val="002060"/>
              </w:rPr>
              <w:t>2904</w:t>
            </w:r>
          </w:p>
        </w:tc>
      </w:tr>
      <w:tr w:rsidR="00851E48" w:rsidRPr="00E36ECB" w14:paraId="76BB1F6C" w14:textId="77777777" w:rsidTr="00851E48">
        <w:trPr>
          <w:trHeight w:val="249"/>
        </w:trPr>
        <w:tc>
          <w:tcPr>
            <w:tcW w:w="4094" w:type="dxa"/>
            <w:shd w:val="clear" w:color="auto" w:fill="auto"/>
            <w:vAlign w:val="center"/>
          </w:tcPr>
          <w:p w14:paraId="2B675C05" w14:textId="63DA61A9" w:rsidR="00851E48" w:rsidRPr="00E36ECB" w:rsidRDefault="00C05E01" w:rsidP="00851E48">
            <w:pPr>
              <w:spacing w:line="240" w:lineRule="auto"/>
              <w:contextualSpacing/>
              <w:rPr>
                <w:b/>
                <w:bCs/>
                <w:color w:val="003781"/>
              </w:rPr>
            </w:pPr>
            <w:hyperlink r:id="rId13" w:history="1">
              <w:r w:rsidR="00851E48" w:rsidRPr="00E36ECB">
                <w:rPr>
                  <w:rStyle w:val="Hyperlink"/>
                </w:rPr>
                <w:t>adrian.russell@allianz-trade.com</w:t>
              </w:r>
            </w:hyperlink>
          </w:p>
        </w:tc>
        <w:tc>
          <w:tcPr>
            <w:tcW w:w="4094" w:type="dxa"/>
            <w:shd w:val="clear" w:color="auto" w:fill="auto"/>
            <w:vAlign w:val="center"/>
          </w:tcPr>
          <w:p w14:paraId="3741EA02" w14:textId="5C8D3AE6" w:rsidR="00851E48" w:rsidRPr="00E36ECB" w:rsidRDefault="00C05E01" w:rsidP="00851E48">
            <w:pPr>
              <w:spacing w:line="240" w:lineRule="auto"/>
              <w:contextualSpacing/>
              <w:rPr>
                <w:color w:val="002060"/>
              </w:rPr>
            </w:pPr>
            <w:hyperlink r:id="rId14" w:history="1">
              <w:r w:rsidR="00851E48" w:rsidRPr="003224E7">
                <w:rPr>
                  <w:rStyle w:val="Hyperlink"/>
                </w:rPr>
                <w:t>neelam.bhangu@allianz-trade.com</w:t>
              </w:r>
            </w:hyperlink>
          </w:p>
        </w:tc>
      </w:tr>
    </w:tbl>
    <w:p w14:paraId="4FDE808F" w14:textId="77777777" w:rsidR="00851E48" w:rsidRDefault="00851E48" w:rsidP="00851E48">
      <w:pPr>
        <w:spacing w:line="240" w:lineRule="auto"/>
        <w:rPr>
          <w:b/>
          <w:bCs/>
        </w:rPr>
      </w:pPr>
    </w:p>
    <w:p w14:paraId="76D55E1C" w14:textId="5804EBFF" w:rsidR="009A0266" w:rsidRPr="009A0266" w:rsidRDefault="009A0266" w:rsidP="00851E48">
      <w:pPr>
        <w:spacing w:line="240" w:lineRule="auto"/>
        <w:rPr>
          <w:b/>
          <w:bCs/>
        </w:rPr>
      </w:pPr>
      <w:r w:rsidRPr="009A0266">
        <w:rPr>
          <w:b/>
          <w:bCs/>
        </w:rPr>
        <w:t>Follow us</w:t>
      </w:r>
    </w:p>
    <w:p w14:paraId="6DBB96CC" w14:textId="3FD850B1" w:rsidR="002C79A4" w:rsidRDefault="00C05E01" w:rsidP="009A0266">
      <w:hyperlink r:id="rId15" w:history="1">
        <w:r w:rsidR="002C79A4">
          <w:rPr>
            <w:rStyle w:val="Hyperlink"/>
          </w:rPr>
          <w:t>https://www.allianz-trade.co.uk</w:t>
        </w:r>
      </w:hyperlink>
    </w:p>
    <w:p w14:paraId="7288457D" w14:textId="54E84568" w:rsidR="009A0266" w:rsidRPr="009A0266" w:rsidRDefault="00C05E01" w:rsidP="009A0266">
      <w:hyperlink r:id="rId16" w:history="1">
        <w:r w:rsidR="009A0266" w:rsidRPr="009A0266">
          <w:rPr>
            <w:rStyle w:val="Hyperlink"/>
          </w:rPr>
          <w:t>https://www.linkedin.com/company/allianz-trade-uk</w:t>
        </w:r>
      </w:hyperlink>
    </w:p>
    <w:p w14:paraId="70DECD36" w14:textId="791A4E08" w:rsidR="009A0266" w:rsidRPr="009A0266" w:rsidRDefault="00C05E01" w:rsidP="009A0266">
      <w:hyperlink r:id="rId17" w:history="1">
        <w:r w:rsidR="002C79A4">
          <w:rPr>
            <w:rStyle w:val="Hyperlink"/>
          </w:rPr>
          <w:t>https://twitter.com/AllianzTrade</w:t>
        </w:r>
      </w:hyperlink>
    </w:p>
    <w:p w14:paraId="513D2418" w14:textId="77777777" w:rsidR="009A0266" w:rsidRPr="009A0266" w:rsidRDefault="009A0266" w:rsidP="009A0266"/>
    <w:p w14:paraId="38C57E29" w14:textId="289758F9" w:rsidR="00A84B7A" w:rsidRPr="00E36ECB" w:rsidRDefault="00A84B7A" w:rsidP="00A84B7A">
      <w:pPr>
        <w:pStyle w:val="Heading2"/>
      </w:pPr>
      <w:r w:rsidRPr="00E36ECB">
        <w:t xml:space="preserve">We predict trade and credit risk today, so companies can have confidence in tomorrow </w:t>
      </w:r>
    </w:p>
    <w:p w14:paraId="389099AA" w14:textId="77777777" w:rsidR="00684313" w:rsidRDefault="00A84B7A" w:rsidP="00A84B7A">
      <w:pPr>
        <w:jc w:val="both"/>
      </w:pPr>
      <w:r w:rsidRPr="00E36ECB">
        <w:t xml:space="preserve">Allianz Trade is the global leader in trade credit insurance and a recognized specialist in the areas of surety, collections, structured trade credit and political risk. Our proprietary intelligence network analyses daily changes in +80 million corporates solvency. We give companies the confidence to trade by securing their payments. We compensate your company in the event of a bad debt, but more importantly, we help you avoid bad debt in the first place. Whenever we provide trade credit insurance or other finance solutions, our priority is predictive protection. But, when the unexpected arrives, our AA credit rating means we have the resources, backed by Allianz to provide compensation to maintain your business. Headquartered in Paris, Allianz Trade is present in 52 countries with 5,500 employees. In 2021, our consolidated turnover was €2.9 billion and insured global business transactions represented €931 billion in exposure. </w:t>
      </w:r>
    </w:p>
    <w:p w14:paraId="3CEA67E9" w14:textId="77777777" w:rsidR="00684313" w:rsidRDefault="00684313" w:rsidP="00A84B7A">
      <w:pPr>
        <w:jc w:val="both"/>
      </w:pPr>
    </w:p>
    <w:p w14:paraId="0B85C27D" w14:textId="147A8FC6" w:rsidR="00A84B7A" w:rsidRPr="00E36ECB" w:rsidRDefault="00A84B7A" w:rsidP="00A84B7A">
      <w:pPr>
        <w:jc w:val="both"/>
      </w:pPr>
      <w:r w:rsidRPr="00E36ECB">
        <w:rPr>
          <w:color w:val="003781"/>
        </w:rPr>
        <w:t>For more information, please visit allianz-trade.com</w:t>
      </w:r>
    </w:p>
    <w:p w14:paraId="2582F5DA" w14:textId="77777777" w:rsidR="00A84B7A" w:rsidRPr="00E36ECB" w:rsidRDefault="00A84B7A" w:rsidP="00A84B7A">
      <w:pPr>
        <w:rPr>
          <w:color w:val="003781"/>
        </w:rPr>
      </w:pPr>
    </w:p>
    <w:p w14:paraId="2C1E67C4" w14:textId="77777777" w:rsidR="00A84B7A" w:rsidRPr="00D84425" w:rsidRDefault="00A84B7A" w:rsidP="00A84B7A">
      <w:pPr>
        <w:pStyle w:val="AZ-PHeadlineLevel2Small"/>
        <w:rPr>
          <w:sz w:val="16"/>
          <w:szCs w:val="16"/>
        </w:rPr>
      </w:pPr>
      <w:r w:rsidRPr="00E36ECB">
        <w:rPr>
          <w:sz w:val="16"/>
          <w:szCs w:val="16"/>
        </w:rPr>
        <w:t>Cautionary note regarding forward-looking statements</w:t>
      </w:r>
      <w:r w:rsidRPr="00D84425">
        <w:rPr>
          <w:sz w:val="16"/>
          <w:szCs w:val="16"/>
        </w:rPr>
        <w:t xml:space="preserve"> </w:t>
      </w:r>
    </w:p>
    <w:p w14:paraId="257F8D31" w14:textId="77777777" w:rsidR="00A84B7A" w:rsidRPr="00D84425" w:rsidRDefault="00A84B7A" w:rsidP="00A84B7A">
      <w:pPr>
        <w:pStyle w:val="AZ-PSmall"/>
        <w:jc w:val="both"/>
        <w:rPr>
          <w:sz w:val="16"/>
          <w:szCs w:val="16"/>
        </w:rPr>
      </w:pPr>
      <w:r w:rsidRPr="00D84425">
        <w:rPr>
          <w:sz w:val="16"/>
          <w:szCs w:val="16"/>
        </w:rPr>
        <w:t>The statements contained herein may include prospects, statements of future expectations and other forward-looking statements that are based on management’s current views and assumptions and involve known and unknown risks and uncertainties. Actual results, performance or events may differ materially from those expressed or implied in such forward-looking statements. Such deviations may arise due to, without limitation, (I) changes of the general economic conditions and competitive situation, particularly in the Allianz Group’s core business and core markets, (II) performance of financial markets (particularly market volatility, liquidity and credit events), (III) frequency and severity of insured loss events, including from natural catastrophes, and the development of loss expenses, (IV) mortality and morbidity levels and trends, (V) persistency levels, (VI) particularly in the banking business, the extent of credit defaults, (VII) interest rate levels, (VIII) currency exchange rates including the euro/US-dollar exchange rate, (IX) changes in laws and regulations, including tax regulations, (X) the impact of acquisitions, including related integration issues, and reorganization measures, and (XI) general competitive factors, in each case on a local, regional, national and/or global basis. Many of these factors may be more likely to occur, or more pronounced, as a result of terrorist activities and their consequences.</w:t>
      </w:r>
    </w:p>
    <w:p w14:paraId="34E17812" w14:textId="77777777" w:rsidR="00A84B7A" w:rsidRPr="00D84425" w:rsidRDefault="00A84B7A" w:rsidP="00A84B7A">
      <w:pPr>
        <w:pStyle w:val="AZ-PDate"/>
        <w:rPr>
          <w:sz w:val="16"/>
          <w:szCs w:val="16"/>
        </w:rPr>
      </w:pPr>
    </w:p>
    <w:sectPr w:rsidR="00A84B7A" w:rsidRPr="00D84425" w:rsidSect="00036514">
      <w:headerReference w:type="default" r:id="rId18"/>
      <w:footerReference w:type="default" r:id="rId19"/>
      <w:headerReference w:type="first" r:id="rId20"/>
      <w:footerReference w:type="first" r:id="rId21"/>
      <w:pgSz w:w="11906" w:h="16838"/>
      <w:pgMar w:top="2269" w:right="1440" w:bottom="1134" w:left="2268" w:header="709" w:footer="737" w:gutter="0"/>
      <w:cols w:space="708"/>
      <w:titlePg/>
      <w:docGrid w:linePitch="4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1BC6E" w16cid:durableId="26E92C0E"/>
  <w16cid:commentId w16cid:paraId="10B26BD7" w16cid:durableId="26E9145D"/>
  <w16cid:commentId w16cid:paraId="4E58C34B" w16cid:durableId="26E9145E"/>
  <w16cid:commentId w16cid:paraId="4DB4A07A" w16cid:durableId="26E91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F1C7" w14:textId="77777777" w:rsidR="00762A8C" w:rsidRDefault="00762A8C" w:rsidP="009F69DD">
      <w:r>
        <w:separator/>
      </w:r>
    </w:p>
  </w:endnote>
  <w:endnote w:type="continuationSeparator" w:id="0">
    <w:p w14:paraId="4732CC7D" w14:textId="77777777" w:rsidR="00762A8C" w:rsidRDefault="00762A8C" w:rsidP="009F69DD">
      <w:r>
        <w:continuationSeparator/>
      </w:r>
    </w:p>
  </w:endnote>
  <w:endnote w:type="continuationNotice" w:id="1">
    <w:p w14:paraId="43173FCF" w14:textId="77777777" w:rsidR="00762A8C" w:rsidRDefault="00762A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lianz Neo">
    <w:panose1 w:val="020B0504020203020204"/>
    <w:charset w:val="00"/>
    <w:family w:val="swiss"/>
    <w:pitch w:val="variable"/>
    <w:sig w:usb0="A000006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ianz Neo SemiBold">
    <w:panose1 w:val="020B0704020203020204"/>
    <w:charset w:val="00"/>
    <w:family w:val="swiss"/>
    <w:pitch w:val="variable"/>
    <w:sig w:usb0="A000006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1C98" w14:textId="608EDB22" w:rsidR="00070BAA" w:rsidRDefault="00070BAA" w:rsidP="00070BAA">
    <w:pPr>
      <w:pStyle w:val="Footer"/>
    </w:pPr>
    <w:r w:rsidRPr="00070BAA">
      <w:t>Allianz Trade is the trademark used to designate a range of services provided by Euler Hermes.</w:t>
    </w:r>
    <w:r>
      <w:tab/>
    </w:r>
    <w:r w:rsidRPr="008F282A">
      <w:rPr>
        <w:color w:val="414141"/>
      </w:rPr>
      <w:fldChar w:fldCharType="begin"/>
    </w:r>
    <w:r w:rsidRPr="008F282A">
      <w:rPr>
        <w:color w:val="414141"/>
      </w:rPr>
      <w:instrText xml:space="preserve"> PAGE   \* MERGEFORMAT </w:instrText>
    </w:r>
    <w:r w:rsidRPr="008F282A">
      <w:rPr>
        <w:color w:val="414141"/>
      </w:rPr>
      <w:fldChar w:fldCharType="separate"/>
    </w:r>
    <w:r w:rsidR="00C05E01">
      <w:rPr>
        <w:noProof/>
        <w:color w:val="414141"/>
      </w:rPr>
      <w:t>3</w:t>
    </w:r>
    <w:r w:rsidRPr="008F282A">
      <w:rPr>
        <w:color w:val="414141"/>
      </w:rPr>
      <w:fldChar w:fldCharType="end"/>
    </w:r>
    <w:r w:rsidRPr="008F282A">
      <w:rPr>
        <w:color w:val="414141"/>
      </w:rPr>
      <w:t>/</w:t>
    </w:r>
    <w:r w:rsidRPr="008F282A">
      <w:rPr>
        <w:color w:val="414141"/>
      </w:rPr>
      <w:fldChar w:fldCharType="begin"/>
    </w:r>
    <w:r w:rsidRPr="008F282A">
      <w:rPr>
        <w:color w:val="414141"/>
      </w:rPr>
      <w:instrText xml:space="preserve"> NUMPAGES  \* Arabic  \* MERGEFORMAT </w:instrText>
    </w:r>
    <w:r w:rsidRPr="008F282A">
      <w:rPr>
        <w:color w:val="414141"/>
      </w:rPr>
      <w:fldChar w:fldCharType="separate"/>
    </w:r>
    <w:r w:rsidR="00C05E01">
      <w:rPr>
        <w:noProof/>
        <w:color w:val="414141"/>
      </w:rPr>
      <w:t>3</w:t>
    </w:r>
    <w:r w:rsidRPr="008F282A">
      <w:rPr>
        <w:color w:val="4141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640C" w14:textId="4B1229B6" w:rsidR="00A90DBF" w:rsidRDefault="005D10A6">
    <w:pPr>
      <w:pStyle w:val="Footer"/>
    </w:pPr>
    <w:r w:rsidRPr="00070BAA">
      <w:t>Allianz Trade is the trademark used to designate a range of services provided by Euler Hermes.</w:t>
    </w:r>
    <w:r>
      <w:tab/>
    </w:r>
    <w:r w:rsidRPr="008F282A">
      <w:rPr>
        <w:color w:val="414141"/>
      </w:rPr>
      <w:fldChar w:fldCharType="begin"/>
    </w:r>
    <w:r w:rsidRPr="008F282A">
      <w:rPr>
        <w:color w:val="414141"/>
      </w:rPr>
      <w:instrText xml:space="preserve"> PAGE   \* MERGEFORMAT </w:instrText>
    </w:r>
    <w:r w:rsidRPr="008F282A">
      <w:rPr>
        <w:color w:val="414141"/>
      </w:rPr>
      <w:fldChar w:fldCharType="separate"/>
    </w:r>
    <w:r w:rsidR="00C05E01">
      <w:rPr>
        <w:noProof/>
        <w:color w:val="414141"/>
      </w:rPr>
      <w:t>1</w:t>
    </w:r>
    <w:r w:rsidRPr="008F282A">
      <w:rPr>
        <w:color w:val="414141"/>
      </w:rPr>
      <w:fldChar w:fldCharType="end"/>
    </w:r>
    <w:r w:rsidRPr="008F282A">
      <w:rPr>
        <w:color w:val="414141"/>
      </w:rPr>
      <w:t>/</w:t>
    </w:r>
    <w:r w:rsidRPr="008F282A">
      <w:rPr>
        <w:color w:val="414141"/>
      </w:rPr>
      <w:fldChar w:fldCharType="begin"/>
    </w:r>
    <w:r w:rsidRPr="008F282A">
      <w:rPr>
        <w:color w:val="414141"/>
      </w:rPr>
      <w:instrText xml:space="preserve"> NUMPAGES  \* Arabic  \* MERGEFORMAT </w:instrText>
    </w:r>
    <w:r w:rsidRPr="008F282A">
      <w:rPr>
        <w:color w:val="414141"/>
      </w:rPr>
      <w:fldChar w:fldCharType="separate"/>
    </w:r>
    <w:r w:rsidR="00C05E01">
      <w:rPr>
        <w:noProof/>
        <w:color w:val="414141"/>
      </w:rPr>
      <w:t>3</w:t>
    </w:r>
    <w:r w:rsidRPr="008F282A">
      <w:rPr>
        <w:color w:val="41414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43D6F" w14:textId="77777777" w:rsidR="00762A8C" w:rsidRDefault="00762A8C" w:rsidP="009F69DD">
      <w:r>
        <w:separator/>
      </w:r>
    </w:p>
  </w:footnote>
  <w:footnote w:type="continuationSeparator" w:id="0">
    <w:p w14:paraId="6DDE3260" w14:textId="77777777" w:rsidR="00762A8C" w:rsidRDefault="00762A8C" w:rsidP="009F69DD">
      <w:r>
        <w:continuationSeparator/>
      </w:r>
    </w:p>
  </w:footnote>
  <w:footnote w:type="continuationNotice" w:id="1">
    <w:p w14:paraId="1D0098E3" w14:textId="77777777" w:rsidR="00762A8C" w:rsidRDefault="00762A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E9AD" w14:textId="77777777" w:rsidR="00832AB2" w:rsidRDefault="00832AB2" w:rsidP="009F69DD">
    <w:pPr>
      <w:pStyle w:val="Header"/>
    </w:pPr>
  </w:p>
  <w:p w14:paraId="10214D20" w14:textId="77777777" w:rsidR="00832AB2" w:rsidRDefault="00832AB2" w:rsidP="009F69DD">
    <w:pPr>
      <w:pStyle w:val="Header"/>
    </w:pPr>
  </w:p>
  <w:p w14:paraId="203580C0" w14:textId="77777777" w:rsidR="00832AB2" w:rsidRDefault="00832AB2" w:rsidP="009F69DD">
    <w:pPr>
      <w:pStyle w:val="Header"/>
    </w:pPr>
  </w:p>
  <w:p w14:paraId="08E89F41" w14:textId="3D0F66F6" w:rsidR="00F77599" w:rsidRDefault="00832AB2" w:rsidP="009F69DD">
    <w:pPr>
      <w:pStyle w:val="Header"/>
    </w:pPr>
    <w:r>
      <w:rPr>
        <w:noProof/>
        <w:lang w:eastAsia="en-GB"/>
      </w:rPr>
      <w:drawing>
        <wp:anchor distT="0" distB="8890" distL="114300" distR="114935" simplePos="0" relativeHeight="251658243" behindDoc="0" locked="0" layoutInCell="1" allowOverlap="1" wp14:anchorId="727E0C67" wp14:editId="679CD636">
          <wp:simplePos x="0" y="0"/>
          <wp:positionH relativeFrom="column">
            <wp:posOffset>4958080</wp:posOffset>
          </wp:positionH>
          <wp:positionV relativeFrom="margin">
            <wp:posOffset>-431800</wp:posOffset>
          </wp:positionV>
          <wp:extent cx="532765" cy="308610"/>
          <wp:effectExtent l="0" t="0" r="0" b="0"/>
          <wp:wrapSquare wrapText="bothSides"/>
          <wp:docPr id="30"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30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11">
      <w:rPr>
        <w:noProof/>
        <w:lang w:eastAsia="en-GB"/>
      </w:rPr>
      <w:drawing>
        <wp:anchor distT="0" distB="8890" distL="114300" distR="122555" simplePos="0" relativeHeight="251658240" behindDoc="0" locked="1" layoutInCell="1" allowOverlap="1" wp14:anchorId="3A642DAA" wp14:editId="68882C9A">
          <wp:simplePos x="0" y="0"/>
          <wp:positionH relativeFrom="page">
            <wp:posOffset>488950</wp:posOffset>
          </wp:positionH>
          <wp:positionV relativeFrom="page">
            <wp:posOffset>490220</wp:posOffset>
          </wp:positionV>
          <wp:extent cx="1439545" cy="359410"/>
          <wp:effectExtent l="0" t="0" r="0" b="0"/>
          <wp:wrapSquare wrapText="bothSides"/>
          <wp:docPr id="31"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67CF" w14:textId="77777777" w:rsidR="00A76C73" w:rsidRDefault="003E6311" w:rsidP="009F69DD">
    <w:pPr>
      <w:pStyle w:val="Header"/>
    </w:pPr>
    <w:r>
      <w:rPr>
        <w:noProof/>
        <w:lang w:eastAsia="en-GB"/>
      </w:rPr>
      <w:drawing>
        <wp:anchor distT="0" distB="8890" distL="114300" distR="114935" simplePos="0" relativeHeight="251658242" behindDoc="0" locked="0" layoutInCell="1" allowOverlap="1" wp14:anchorId="0767F099" wp14:editId="0374F12E">
          <wp:simplePos x="0" y="0"/>
          <wp:positionH relativeFrom="column">
            <wp:posOffset>5200650</wp:posOffset>
          </wp:positionH>
          <wp:positionV relativeFrom="topMargin">
            <wp:posOffset>381000</wp:posOffset>
          </wp:positionV>
          <wp:extent cx="723900" cy="413385"/>
          <wp:effectExtent l="0" t="0" r="0" b="5715"/>
          <wp:wrapSquare wrapText="bothSides"/>
          <wp:docPr id="3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8890" distL="114300" distR="122555" simplePos="0" relativeHeight="251658241" behindDoc="0" locked="1" layoutInCell="1" allowOverlap="1" wp14:anchorId="5C0B7121" wp14:editId="3DFFF6B9">
          <wp:simplePos x="0" y="0"/>
          <wp:positionH relativeFrom="page">
            <wp:posOffset>497840</wp:posOffset>
          </wp:positionH>
          <wp:positionV relativeFrom="page">
            <wp:posOffset>486410</wp:posOffset>
          </wp:positionV>
          <wp:extent cx="1439545" cy="359410"/>
          <wp:effectExtent l="0" t="0" r="0" b="0"/>
          <wp:wrapSquare wrapText="bothSides"/>
          <wp:docPr id="33"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6E9"/>
    <w:multiLevelType w:val="hybridMultilevel"/>
    <w:tmpl w:val="56242162"/>
    <w:lvl w:ilvl="0" w:tplc="EFFE85F0">
      <w:start w:val="1"/>
      <w:numFmt w:val="bullet"/>
      <w:pStyle w:val="AZ-PList"/>
      <w:lvlText w:val="•"/>
      <w:lvlJc w:val="left"/>
      <w:rPr>
        <w:rFonts w:ascii="Allianz Neo" w:hAnsi="Allianz Neo" w:hint="default"/>
        <w:color w:val="00378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87B25"/>
    <w:multiLevelType w:val="hybridMultilevel"/>
    <w:tmpl w:val="091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C2039"/>
    <w:multiLevelType w:val="hybridMultilevel"/>
    <w:tmpl w:val="A7584E7E"/>
    <w:lvl w:ilvl="0" w:tplc="437A2BF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F37B26"/>
    <w:multiLevelType w:val="hybridMultilevel"/>
    <w:tmpl w:val="5614B2B4"/>
    <w:lvl w:ilvl="0" w:tplc="1A6C24AE">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4" w15:restartNumberingAfterBreak="0">
    <w:nsid w:val="55F96BA6"/>
    <w:multiLevelType w:val="hybridMultilevel"/>
    <w:tmpl w:val="5C2ED914"/>
    <w:lvl w:ilvl="0" w:tplc="7968FF9A">
      <w:numFmt w:val="bullet"/>
      <w:lvlText w:val="-"/>
      <w:lvlJc w:val="left"/>
      <w:pPr>
        <w:ind w:left="720" w:hanging="360"/>
      </w:pPr>
      <w:rPr>
        <w:rFonts w:ascii="Allianz Neo" w:eastAsia="Allianz Neo" w:hAnsi="Allianz Ne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BA3C5D"/>
    <w:multiLevelType w:val="hybridMultilevel"/>
    <w:tmpl w:val="875E8B26"/>
    <w:lvl w:ilvl="0" w:tplc="BE1014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03CF6"/>
    <w:multiLevelType w:val="hybridMultilevel"/>
    <w:tmpl w:val="C1F4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stylePaneSortMethod w:val="00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47"/>
    <w:rsid w:val="00003049"/>
    <w:rsid w:val="000036D4"/>
    <w:rsid w:val="00003B6E"/>
    <w:rsid w:val="00006EF5"/>
    <w:rsid w:val="000074E6"/>
    <w:rsid w:val="00007825"/>
    <w:rsid w:val="0001026D"/>
    <w:rsid w:val="00011DFE"/>
    <w:rsid w:val="000120EC"/>
    <w:rsid w:val="00015DD8"/>
    <w:rsid w:val="000200E3"/>
    <w:rsid w:val="00020E22"/>
    <w:rsid w:val="00022349"/>
    <w:rsid w:val="0002719A"/>
    <w:rsid w:val="00036514"/>
    <w:rsid w:val="00037A7D"/>
    <w:rsid w:val="00037BCE"/>
    <w:rsid w:val="000419D4"/>
    <w:rsid w:val="00043E6C"/>
    <w:rsid w:val="00044441"/>
    <w:rsid w:val="00045A3B"/>
    <w:rsid w:val="00047610"/>
    <w:rsid w:val="00052CB6"/>
    <w:rsid w:val="000539F1"/>
    <w:rsid w:val="00054505"/>
    <w:rsid w:val="00055A73"/>
    <w:rsid w:val="000607AB"/>
    <w:rsid w:val="00070BAA"/>
    <w:rsid w:val="000717BE"/>
    <w:rsid w:val="00073026"/>
    <w:rsid w:val="00073315"/>
    <w:rsid w:val="0008389B"/>
    <w:rsid w:val="0008508C"/>
    <w:rsid w:val="00087808"/>
    <w:rsid w:val="00096FB4"/>
    <w:rsid w:val="0009733A"/>
    <w:rsid w:val="000A0023"/>
    <w:rsid w:val="000A3954"/>
    <w:rsid w:val="000B3B04"/>
    <w:rsid w:val="000B6FBF"/>
    <w:rsid w:val="000B71E2"/>
    <w:rsid w:val="000B7ACD"/>
    <w:rsid w:val="000C0831"/>
    <w:rsid w:val="000C2D55"/>
    <w:rsid w:val="000C3C7B"/>
    <w:rsid w:val="000C40BA"/>
    <w:rsid w:val="000D23B3"/>
    <w:rsid w:val="000D3D9E"/>
    <w:rsid w:val="000E1FB7"/>
    <w:rsid w:val="000E3967"/>
    <w:rsid w:val="000E49AB"/>
    <w:rsid w:val="000E518C"/>
    <w:rsid w:val="000E77C8"/>
    <w:rsid w:val="000E7C11"/>
    <w:rsid w:val="000F20F5"/>
    <w:rsid w:val="000F3060"/>
    <w:rsid w:val="000F5C2B"/>
    <w:rsid w:val="000F638A"/>
    <w:rsid w:val="000F64F8"/>
    <w:rsid w:val="00100573"/>
    <w:rsid w:val="001033CC"/>
    <w:rsid w:val="00103B76"/>
    <w:rsid w:val="00110D7E"/>
    <w:rsid w:val="00110D8F"/>
    <w:rsid w:val="00122516"/>
    <w:rsid w:val="00124171"/>
    <w:rsid w:val="00125124"/>
    <w:rsid w:val="00125EFB"/>
    <w:rsid w:val="00126125"/>
    <w:rsid w:val="00126C4A"/>
    <w:rsid w:val="00130078"/>
    <w:rsid w:val="00132085"/>
    <w:rsid w:val="00135D64"/>
    <w:rsid w:val="00137A75"/>
    <w:rsid w:val="001400F2"/>
    <w:rsid w:val="0014301A"/>
    <w:rsid w:val="00145EEF"/>
    <w:rsid w:val="00147ED0"/>
    <w:rsid w:val="00150382"/>
    <w:rsid w:val="00150C4E"/>
    <w:rsid w:val="00155610"/>
    <w:rsid w:val="00156935"/>
    <w:rsid w:val="00156B27"/>
    <w:rsid w:val="00165F41"/>
    <w:rsid w:val="00166B3D"/>
    <w:rsid w:val="001707BB"/>
    <w:rsid w:val="001720CB"/>
    <w:rsid w:val="00174278"/>
    <w:rsid w:val="00174AC7"/>
    <w:rsid w:val="00174DFC"/>
    <w:rsid w:val="00182F55"/>
    <w:rsid w:val="0018493E"/>
    <w:rsid w:val="00185668"/>
    <w:rsid w:val="0019035A"/>
    <w:rsid w:val="00192176"/>
    <w:rsid w:val="0019318F"/>
    <w:rsid w:val="00195944"/>
    <w:rsid w:val="00196902"/>
    <w:rsid w:val="0019741A"/>
    <w:rsid w:val="00197E40"/>
    <w:rsid w:val="001A0305"/>
    <w:rsid w:val="001A1DB5"/>
    <w:rsid w:val="001A1FFB"/>
    <w:rsid w:val="001B09A1"/>
    <w:rsid w:val="001B0CBC"/>
    <w:rsid w:val="001B0EA2"/>
    <w:rsid w:val="001B6BEE"/>
    <w:rsid w:val="001B6E53"/>
    <w:rsid w:val="001C2A42"/>
    <w:rsid w:val="001E20DB"/>
    <w:rsid w:val="001E50E1"/>
    <w:rsid w:val="001E5BB4"/>
    <w:rsid w:val="001E6D1C"/>
    <w:rsid w:val="001F1AE3"/>
    <w:rsid w:val="001F5530"/>
    <w:rsid w:val="001F5CF6"/>
    <w:rsid w:val="001F659C"/>
    <w:rsid w:val="002033E5"/>
    <w:rsid w:val="002055C6"/>
    <w:rsid w:val="00206D5E"/>
    <w:rsid w:val="0020707E"/>
    <w:rsid w:val="00210DFE"/>
    <w:rsid w:val="00220E60"/>
    <w:rsid w:val="00222DC9"/>
    <w:rsid w:val="00223E7E"/>
    <w:rsid w:val="00225256"/>
    <w:rsid w:val="00225CCF"/>
    <w:rsid w:val="00230132"/>
    <w:rsid w:val="00233EC7"/>
    <w:rsid w:val="00234775"/>
    <w:rsid w:val="00237B3D"/>
    <w:rsid w:val="002428FB"/>
    <w:rsid w:val="0024492E"/>
    <w:rsid w:val="00251092"/>
    <w:rsid w:val="00252DBF"/>
    <w:rsid w:val="0025442E"/>
    <w:rsid w:val="00256948"/>
    <w:rsid w:val="00261E82"/>
    <w:rsid w:val="0026367D"/>
    <w:rsid w:val="00267407"/>
    <w:rsid w:val="0026774B"/>
    <w:rsid w:val="002721C1"/>
    <w:rsid w:val="00274EF3"/>
    <w:rsid w:val="00274FDE"/>
    <w:rsid w:val="0027534C"/>
    <w:rsid w:val="00275405"/>
    <w:rsid w:val="00277FBA"/>
    <w:rsid w:val="002833E6"/>
    <w:rsid w:val="00283B54"/>
    <w:rsid w:val="00284610"/>
    <w:rsid w:val="00285537"/>
    <w:rsid w:val="0029142C"/>
    <w:rsid w:val="00291BEE"/>
    <w:rsid w:val="002A0C15"/>
    <w:rsid w:val="002A48E8"/>
    <w:rsid w:val="002A5F78"/>
    <w:rsid w:val="002A6401"/>
    <w:rsid w:val="002B22C7"/>
    <w:rsid w:val="002B5A2D"/>
    <w:rsid w:val="002B6FF5"/>
    <w:rsid w:val="002B7871"/>
    <w:rsid w:val="002C03AB"/>
    <w:rsid w:val="002C215C"/>
    <w:rsid w:val="002C4533"/>
    <w:rsid w:val="002C4543"/>
    <w:rsid w:val="002C54D2"/>
    <w:rsid w:val="002C6796"/>
    <w:rsid w:val="002C68AA"/>
    <w:rsid w:val="002C79A4"/>
    <w:rsid w:val="002D275D"/>
    <w:rsid w:val="002D27AF"/>
    <w:rsid w:val="002D38C1"/>
    <w:rsid w:val="002D6E3D"/>
    <w:rsid w:val="002D7263"/>
    <w:rsid w:val="002E04B6"/>
    <w:rsid w:val="002E0C13"/>
    <w:rsid w:val="002E101D"/>
    <w:rsid w:val="002E7814"/>
    <w:rsid w:val="002E7EB0"/>
    <w:rsid w:val="002F0681"/>
    <w:rsid w:val="002F18B7"/>
    <w:rsid w:val="002F407D"/>
    <w:rsid w:val="002F4B2D"/>
    <w:rsid w:val="002F51EB"/>
    <w:rsid w:val="003138BA"/>
    <w:rsid w:val="003151AA"/>
    <w:rsid w:val="0031644F"/>
    <w:rsid w:val="00317D53"/>
    <w:rsid w:val="00320E0A"/>
    <w:rsid w:val="00323334"/>
    <w:rsid w:val="00323446"/>
    <w:rsid w:val="00323C8B"/>
    <w:rsid w:val="00327D08"/>
    <w:rsid w:val="00332FC3"/>
    <w:rsid w:val="003340BC"/>
    <w:rsid w:val="00334115"/>
    <w:rsid w:val="003346FE"/>
    <w:rsid w:val="003359D3"/>
    <w:rsid w:val="00336ABE"/>
    <w:rsid w:val="003426AF"/>
    <w:rsid w:val="0035066A"/>
    <w:rsid w:val="00354481"/>
    <w:rsid w:val="00362088"/>
    <w:rsid w:val="00365607"/>
    <w:rsid w:val="0037149F"/>
    <w:rsid w:val="00371556"/>
    <w:rsid w:val="0037171C"/>
    <w:rsid w:val="00373C18"/>
    <w:rsid w:val="00376795"/>
    <w:rsid w:val="00381528"/>
    <w:rsid w:val="0038475E"/>
    <w:rsid w:val="00385F1A"/>
    <w:rsid w:val="00395250"/>
    <w:rsid w:val="00396898"/>
    <w:rsid w:val="003A55DE"/>
    <w:rsid w:val="003A7ECF"/>
    <w:rsid w:val="003C083A"/>
    <w:rsid w:val="003C15A8"/>
    <w:rsid w:val="003C16A4"/>
    <w:rsid w:val="003C5471"/>
    <w:rsid w:val="003D040B"/>
    <w:rsid w:val="003D4654"/>
    <w:rsid w:val="003D668E"/>
    <w:rsid w:val="003E48FA"/>
    <w:rsid w:val="003E505E"/>
    <w:rsid w:val="003E62E8"/>
    <w:rsid w:val="003E6311"/>
    <w:rsid w:val="003E7EC2"/>
    <w:rsid w:val="003F5543"/>
    <w:rsid w:val="003F638E"/>
    <w:rsid w:val="00401D0D"/>
    <w:rsid w:val="0041156E"/>
    <w:rsid w:val="00416103"/>
    <w:rsid w:val="004164F3"/>
    <w:rsid w:val="00417091"/>
    <w:rsid w:val="0042077A"/>
    <w:rsid w:val="00424F91"/>
    <w:rsid w:val="004269ED"/>
    <w:rsid w:val="004312A0"/>
    <w:rsid w:val="0043201B"/>
    <w:rsid w:val="00432933"/>
    <w:rsid w:val="0043307E"/>
    <w:rsid w:val="00434485"/>
    <w:rsid w:val="00435E13"/>
    <w:rsid w:val="00435EF6"/>
    <w:rsid w:val="0043665A"/>
    <w:rsid w:val="00443770"/>
    <w:rsid w:val="004465B5"/>
    <w:rsid w:val="00447150"/>
    <w:rsid w:val="00447A9E"/>
    <w:rsid w:val="004505E6"/>
    <w:rsid w:val="00450E36"/>
    <w:rsid w:val="00451235"/>
    <w:rsid w:val="00451865"/>
    <w:rsid w:val="00451F72"/>
    <w:rsid w:val="00452FA8"/>
    <w:rsid w:val="00453452"/>
    <w:rsid w:val="004541F3"/>
    <w:rsid w:val="00464E4F"/>
    <w:rsid w:val="00470EF4"/>
    <w:rsid w:val="00476100"/>
    <w:rsid w:val="00476143"/>
    <w:rsid w:val="00477E82"/>
    <w:rsid w:val="00483A49"/>
    <w:rsid w:val="004879EB"/>
    <w:rsid w:val="00490317"/>
    <w:rsid w:val="00492214"/>
    <w:rsid w:val="0049541C"/>
    <w:rsid w:val="00497E73"/>
    <w:rsid w:val="004B1823"/>
    <w:rsid w:val="004B2BC7"/>
    <w:rsid w:val="004C0320"/>
    <w:rsid w:val="004C48FB"/>
    <w:rsid w:val="004C71AD"/>
    <w:rsid w:val="004C7547"/>
    <w:rsid w:val="004D24B7"/>
    <w:rsid w:val="004D3A2A"/>
    <w:rsid w:val="004D460D"/>
    <w:rsid w:val="004D6ADC"/>
    <w:rsid w:val="004D7BCB"/>
    <w:rsid w:val="004E0FA9"/>
    <w:rsid w:val="004E116C"/>
    <w:rsid w:val="004E3C86"/>
    <w:rsid w:val="004E424C"/>
    <w:rsid w:val="004F0D84"/>
    <w:rsid w:val="004F5077"/>
    <w:rsid w:val="004F5F4D"/>
    <w:rsid w:val="004F76AB"/>
    <w:rsid w:val="004F78DE"/>
    <w:rsid w:val="00501BF1"/>
    <w:rsid w:val="00502E08"/>
    <w:rsid w:val="00503185"/>
    <w:rsid w:val="00511111"/>
    <w:rsid w:val="00511F51"/>
    <w:rsid w:val="005129EB"/>
    <w:rsid w:val="005130D9"/>
    <w:rsid w:val="0051799E"/>
    <w:rsid w:val="0052006A"/>
    <w:rsid w:val="00521915"/>
    <w:rsid w:val="00524270"/>
    <w:rsid w:val="00534B50"/>
    <w:rsid w:val="00537E54"/>
    <w:rsid w:val="00540CCB"/>
    <w:rsid w:val="00543D8A"/>
    <w:rsid w:val="005531D9"/>
    <w:rsid w:val="00555BCB"/>
    <w:rsid w:val="00563350"/>
    <w:rsid w:val="00563972"/>
    <w:rsid w:val="00565A83"/>
    <w:rsid w:val="00576340"/>
    <w:rsid w:val="0057779A"/>
    <w:rsid w:val="00586680"/>
    <w:rsid w:val="0058758E"/>
    <w:rsid w:val="00595E82"/>
    <w:rsid w:val="005A147A"/>
    <w:rsid w:val="005A25CC"/>
    <w:rsid w:val="005A462F"/>
    <w:rsid w:val="005A54A1"/>
    <w:rsid w:val="005B0C85"/>
    <w:rsid w:val="005B200E"/>
    <w:rsid w:val="005C0ECE"/>
    <w:rsid w:val="005C3049"/>
    <w:rsid w:val="005C69EB"/>
    <w:rsid w:val="005C6BD2"/>
    <w:rsid w:val="005C718B"/>
    <w:rsid w:val="005C7AAA"/>
    <w:rsid w:val="005D10A6"/>
    <w:rsid w:val="005D43FD"/>
    <w:rsid w:val="005D4D6D"/>
    <w:rsid w:val="005D6B31"/>
    <w:rsid w:val="005D7114"/>
    <w:rsid w:val="005F07DC"/>
    <w:rsid w:val="005F106A"/>
    <w:rsid w:val="005F1BE1"/>
    <w:rsid w:val="005F779A"/>
    <w:rsid w:val="00600DEB"/>
    <w:rsid w:val="00610F7F"/>
    <w:rsid w:val="006119F6"/>
    <w:rsid w:val="00612765"/>
    <w:rsid w:val="00612849"/>
    <w:rsid w:val="00616F13"/>
    <w:rsid w:val="006227A4"/>
    <w:rsid w:val="0062309F"/>
    <w:rsid w:val="006237BE"/>
    <w:rsid w:val="00627DB9"/>
    <w:rsid w:val="00632F1F"/>
    <w:rsid w:val="006337F8"/>
    <w:rsid w:val="00636A5B"/>
    <w:rsid w:val="006403B5"/>
    <w:rsid w:val="0064613F"/>
    <w:rsid w:val="0064734A"/>
    <w:rsid w:val="00651F1C"/>
    <w:rsid w:val="0065289B"/>
    <w:rsid w:val="00653045"/>
    <w:rsid w:val="00656C34"/>
    <w:rsid w:val="00657A1D"/>
    <w:rsid w:val="00661AAB"/>
    <w:rsid w:val="00664368"/>
    <w:rsid w:val="0066673F"/>
    <w:rsid w:val="006720A7"/>
    <w:rsid w:val="006727B7"/>
    <w:rsid w:val="00676252"/>
    <w:rsid w:val="00683109"/>
    <w:rsid w:val="00684313"/>
    <w:rsid w:val="00684891"/>
    <w:rsid w:val="00686CD6"/>
    <w:rsid w:val="00693234"/>
    <w:rsid w:val="0069472B"/>
    <w:rsid w:val="0069582D"/>
    <w:rsid w:val="00696E58"/>
    <w:rsid w:val="00697E08"/>
    <w:rsid w:val="006A0119"/>
    <w:rsid w:val="006A283C"/>
    <w:rsid w:val="006A565A"/>
    <w:rsid w:val="006A7DF6"/>
    <w:rsid w:val="006B4A7B"/>
    <w:rsid w:val="006B65E5"/>
    <w:rsid w:val="006B767D"/>
    <w:rsid w:val="006C6103"/>
    <w:rsid w:val="006C705D"/>
    <w:rsid w:val="006C760F"/>
    <w:rsid w:val="006C768D"/>
    <w:rsid w:val="006D0BB3"/>
    <w:rsid w:val="006D2F11"/>
    <w:rsid w:val="006D47F9"/>
    <w:rsid w:val="00701FE4"/>
    <w:rsid w:val="0070504E"/>
    <w:rsid w:val="00712785"/>
    <w:rsid w:val="0071452D"/>
    <w:rsid w:val="0071562E"/>
    <w:rsid w:val="0071601A"/>
    <w:rsid w:val="00716D0B"/>
    <w:rsid w:val="00722371"/>
    <w:rsid w:val="00724A51"/>
    <w:rsid w:val="00724EAF"/>
    <w:rsid w:val="007251AD"/>
    <w:rsid w:val="0072716C"/>
    <w:rsid w:val="00727391"/>
    <w:rsid w:val="00727C8C"/>
    <w:rsid w:val="00727FA2"/>
    <w:rsid w:val="00732C85"/>
    <w:rsid w:val="00732F22"/>
    <w:rsid w:val="00732F86"/>
    <w:rsid w:val="00734295"/>
    <w:rsid w:val="007351FA"/>
    <w:rsid w:val="007405A3"/>
    <w:rsid w:val="007408E2"/>
    <w:rsid w:val="00740D36"/>
    <w:rsid w:val="00744468"/>
    <w:rsid w:val="00746A6E"/>
    <w:rsid w:val="00752492"/>
    <w:rsid w:val="00752725"/>
    <w:rsid w:val="00754E24"/>
    <w:rsid w:val="007568C1"/>
    <w:rsid w:val="007601AA"/>
    <w:rsid w:val="0076044D"/>
    <w:rsid w:val="00760DDB"/>
    <w:rsid w:val="007612CB"/>
    <w:rsid w:val="00762A8C"/>
    <w:rsid w:val="00765B2A"/>
    <w:rsid w:val="00767B06"/>
    <w:rsid w:val="00772EF6"/>
    <w:rsid w:val="00774613"/>
    <w:rsid w:val="00776520"/>
    <w:rsid w:val="00780C6F"/>
    <w:rsid w:val="00780E59"/>
    <w:rsid w:val="00780F65"/>
    <w:rsid w:val="00781B98"/>
    <w:rsid w:val="0078278A"/>
    <w:rsid w:val="00784945"/>
    <w:rsid w:val="00784B75"/>
    <w:rsid w:val="00786E6A"/>
    <w:rsid w:val="007A2502"/>
    <w:rsid w:val="007A3685"/>
    <w:rsid w:val="007A4629"/>
    <w:rsid w:val="007A5A52"/>
    <w:rsid w:val="007A7517"/>
    <w:rsid w:val="007B6EFE"/>
    <w:rsid w:val="007C14CF"/>
    <w:rsid w:val="007C1F49"/>
    <w:rsid w:val="007C2102"/>
    <w:rsid w:val="007C35AC"/>
    <w:rsid w:val="007E293B"/>
    <w:rsid w:val="007E6050"/>
    <w:rsid w:val="007F4B0B"/>
    <w:rsid w:val="007F60CB"/>
    <w:rsid w:val="007F7F8A"/>
    <w:rsid w:val="008109B4"/>
    <w:rsid w:val="0081556A"/>
    <w:rsid w:val="0081661B"/>
    <w:rsid w:val="00821F83"/>
    <w:rsid w:val="008257B6"/>
    <w:rsid w:val="00825D5D"/>
    <w:rsid w:val="0083017E"/>
    <w:rsid w:val="008317BB"/>
    <w:rsid w:val="00832AB2"/>
    <w:rsid w:val="00833F37"/>
    <w:rsid w:val="00833F45"/>
    <w:rsid w:val="0083444B"/>
    <w:rsid w:val="008376A5"/>
    <w:rsid w:val="00840902"/>
    <w:rsid w:val="008452BA"/>
    <w:rsid w:val="00846159"/>
    <w:rsid w:val="00847D8D"/>
    <w:rsid w:val="008510EB"/>
    <w:rsid w:val="00851BC8"/>
    <w:rsid w:val="00851D29"/>
    <w:rsid w:val="00851E48"/>
    <w:rsid w:val="00852C2C"/>
    <w:rsid w:val="00854883"/>
    <w:rsid w:val="0085528A"/>
    <w:rsid w:val="008553C1"/>
    <w:rsid w:val="00856207"/>
    <w:rsid w:val="00861E55"/>
    <w:rsid w:val="008653BA"/>
    <w:rsid w:val="008676A1"/>
    <w:rsid w:val="00875286"/>
    <w:rsid w:val="00876E2E"/>
    <w:rsid w:val="008771C2"/>
    <w:rsid w:val="008772ED"/>
    <w:rsid w:val="00880D41"/>
    <w:rsid w:val="008833A8"/>
    <w:rsid w:val="0089346F"/>
    <w:rsid w:val="008937A7"/>
    <w:rsid w:val="008A1EA1"/>
    <w:rsid w:val="008A7FD2"/>
    <w:rsid w:val="008B2ABF"/>
    <w:rsid w:val="008B35F9"/>
    <w:rsid w:val="008B3F64"/>
    <w:rsid w:val="008B4495"/>
    <w:rsid w:val="008C3CC7"/>
    <w:rsid w:val="008C5367"/>
    <w:rsid w:val="008D3DD1"/>
    <w:rsid w:val="008D5155"/>
    <w:rsid w:val="008D5E67"/>
    <w:rsid w:val="008D7BFE"/>
    <w:rsid w:val="008E1E5C"/>
    <w:rsid w:val="008F282A"/>
    <w:rsid w:val="00900B93"/>
    <w:rsid w:val="00902D61"/>
    <w:rsid w:val="00905EF3"/>
    <w:rsid w:val="00912E15"/>
    <w:rsid w:val="00913300"/>
    <w:rsid w:val="009163E5"/>
    <w:rsid w:val="00916AD7"/>
    <w:rsid w:val="00922399"/>
    <w:rsid w:val="009241A8"/>
    <w:rsid w:val="0092478F"/>
    <w:rsid w:val="00925AD9"/>
    <w:rsid w:val="00932F63"/>
    <w:rsid w:val="009331DA"/>
    <w:rsid w:val="00933AD2"/>
    <w:rsid w:val="009346DA"/>
    <w:rsid w:val="00944553"/>
    <w:rsid w:val="00950833"/>
    <w:rsid w:val="00953630"/>
    <w:rsid w:val="00957A5B"/>
    <w:rsid w:val="0096232F"/>
    <w:rsid w:val="0096535D"/>
    <w:rsid w:val="00967CDE"/>
    <w:rsid w:val="00983069"/>
    <w:rsid w:val="00985475"/>
    <w:rsid w:val="00987325"/>
    <w:rsid w:val="00991855"/>
    <w:rsid w:val="009972ED"/>
    <w:rsid w:val="009A0266"/>
    <w:rsid w:val="009A08F4"/>
    <w:rsid w:val="009A5BE0"/>
    <w:rsid w:val="009B16E6"/>
    <w:rsid w:val="009B4123"/>
    <w:rsid w:val="009B4717"/>
    <w:rsid w:val="009B5949"/>
    <w:rsid w:val="009B613C"/>
    <w:rsid w:val="009C0439"/>
    <w:rsid w:val="009C08AB"/>
    <w:rsid w:val="009C1C43"/>
    <w:rsid w:val="009C4362"/>
    <w:rsid w:val="009D0A21"/>
    <w:rsid w:val="009D5337"/>
    <w:rsid w:val="009D622D"/>
    <w:rsid w:val="009E2657"/>
    <w:rsid w:val="009E62A2"/>
    <w:rsid w:val="009E7D7E"/>
    <w:rsid w:val="009E7E09"/>
    <w:rsid w:val="009F28B2"/>
    <w:rsid w:val="009F3681"/>
    <w:rsid w:val="009F69DD"/>
    <w:rsid w:val="00A03FF0"/>
    <w:rsid w:val="00A11698"/>
    <w:rsid w:val="00A21958"/>
    <w:rsid w:val="00A240F2"/>
    <w:rsid w:val="00A27B8B"/>
    <w:rsid w:val="00A30538"/>
    <w:rsid w:val="00A3117C"/>
    <w:rsid w:val="00A3275E"/>
    <w:rsid w:val="00A363FD"/>
    <w:rsid w:val="00A369B9"/>
    <w:rsid w:val="00A406A0"/>
    <w:rsid w:val="00A40B99"/>
    <w:rsid w:val="00A43AD0"/>
    <w:rsid w:val="00A44252"/>
    <w:rsid w:val="00A47CC3"/>
    <w:rsid w:val="00A50616"/>
    <w:rsid w:val="00A603B6"/>
    <w:rsid w:val="00A60686"/>
    <w:rsid w:val="00A67893"/>
    <w:rsid w:val="00A70767"/>
    <w:rsid w:val="00A718D0"/>
    <w:rsid w:val="00A72C45"/>
    <w:rsid w:val="00A75D6C"/>
    <w:rsid w:val="00A76C73"/>
    <w:rsid w:val="00A8099F"/>
    <w:rsid w:val="00A81742"/>
    <w:rsid w:val="00A83EAC"/>
    <w:rsid w:val="00A84B7A"/>
    <w:rsid w:val="00A87BA4"/>
    <w:rsid w:val="00A90DBF"/>
    <w:rsid w:val="00A93202"/>
    <w:rsid w:val="00A9369B"/>
    <w:rsid w:val="00AA224E"/>
    <w:rsid w:val="00AA38A8"/>
    <w:rsid w:val="00AA401D"/>
    <w:rsid w:val="00AA437F"/>
    <w:rsid w:val="00AA785C"/>
    <w:rsid w:val="00AA78E6"/>
    <w:rsid w:val="00AB0C53"/>
    <w:rsid w:val="00AB3B78"/>
    <w:rsid w:val="00AB7C54"/>
    <w:rsid w:val="00AB7E29"/>
    <w:rsid w:val="00AC56EC"/>
    <w:rsid w:val="00AC5AC4"/>
    <w:rsid w:val="00AC754F"/>
    <w:rsid w:val="00AC7ABF"/>
    <w:rsid w:val="00AD012A"/>
    <w:rsid w:val="00AD2430"/>
    <w:rsid w:val="00AD3763"/>
    <w:rsid w:val="00AD47CA"/>
    <w:rsid w:val="00AD6868"/>
    <w:rsid w:val="00AD6A40"/>
    <w:rsid w:val="00AE24F6"/>
    <w:rsid w:val="00AE69DB"/>
    <w:rsid w:val="00AF1EC7"/>
    <w:rsid w:val="00AF212A"/>
    <w:rsid w:val="00AF3A48"/>
    <w:rsid w:val="00AF444D"/>
    <w:rsid w:val="00AF70DB"/>
    <w:rsid w:val="00B0406B"/>
    <w:rsid w:val="00B06393"/>
    <w:rsid w:val="00B07634"/>
    <w:rsid w:val="00B10D5C"/>
    <w:rsid w:val="00B1188D"/>
    <w:rsid w:val="00B12736"/>
    <w:rsid w:val="00B1660F"/>
    <w:rsid w:val="00B17EB9"/>
    <w:rsid w:val="00B228A0"/>
    <w:rsid w:val="00B24F43"/>
    <w:rsid w:val="00B26242"/>
    <w:rsid w:val="00B26A8A"/>
    <w:rsid w:val="00B3186D"/>
    <w:rsid w:val="00B31878"/>
    <w:rsid w:val="00B36376"/>
    <w:rsid w:val="00B3675B"/>
    <w:rsid w:val="00B37A37"/>
    <w:rsid w:val="00B45783"/>
    <w:rsid w:val="00B466D5"/>
    <w:rsid w:val="00B47102"/>
    <w:rsid w:val="00B53A79"/>
    <w:rsid w:val="00B55C7D"/>
    <w:rsid w:val="00B560C8"/>
    <w:rsid w:val="00B57121"/>
    <w:rsid w:val="00B604AC"/>
    <w:rsid w:val="00B61D26"/>
    <w:rsid w:val="00B72D76"/>
    <w:rsid w:val="00B73321"/>
    <w:rsid w:val="00B806BC"/>
    <w:rsid w:val="00B83824"/>
    <w:rsid w:val="00B85445"/>
    <w:rsid w:val="00B95D19"/>
    <w:rsid w:val="00B965C2"/>
    <w:rsid w:val="00BA06D0"/>
    <w:rsid w:val="00BA0952"/>
    <w:rsid w:val="00BA1142"/>
    <w:rsid w:val="00BA1A75"/>
    <w:rsid w:val="00BA3C80"/>
    <w:rsid w:val="00BA4634"/>
    <w:rsid w:val="00BB1844"/>
    <w:rsid w:val="00BB30A6"/>
    <w:rsid w:val="00BC2AEB"/>
    <w:rsid w:val="00BC376E"/>
    <w:rsid w:val="00BC69A5"/>
    <w:rsid w:val="00BC7976"/>
    <w:rsid w:val="00BD11A8"/>
    <w:rsid w:val="00BD1576"/>
    <w:rsid w:val="00BD190D"/>
    <w:rsid w:val="00BE06B2"/>
    <w:rsid w:val="00BE1639"/>
    <w:rsid w:val="00BE1E61"/>
    <w:rsid w:val="00BE377C"/>
    <w:rsid w:val="00BE445D"/>
    <w:rsid w:val="00BE4E13"/>
    <w:rsid w:val="00BF4644"/>
    <w:rsid w:val="00BF5A55"/>
    <w:rsid w:val="00BF718A"/>
    <w:rsid w:val="00C02733"/>
    <w:rsid w:val="00C03026"/>
    <w:rsid w:val="00C03750"/>
    <w:rsid w:val="00C05E01"/>
    <w:rsid w:val="00C068F2"/>
    <w:rsid w:val="00C1140F"/>
    <w:rsid w:val="00C12EFF"/>
    <w:rsid w:val="00C144D7"/>
    <w:rsid w:val="00C14A47"/>
    <w:rsid w:val="00C16A74"/>
    <w:rsid w:val="00C20037"/>
    <w:rsid w:val="00C20B85"/>
    <w:rsid w:val="00C20FF1"/>
    <w:rsid w:val="00C2394B"/>
    <w:rsid w:val="00C23A70"/>
    <w:rsid w:val="00C2730D"/>
    <w:rsid w:val="00C275DB"/>
    <w:rsid w:val="00C30BA8"/>
    <w:rsid w:val="00C30F77"/>
    <w:rsid w:val="00C31D0A"/>
    <w:rsid w:val="00C33B12"/>
    <w:rsid w:val="00C3478E"/>
    <w:rsid w:val="00C3573E"/>
    <w:rsid w:val="00C4379E"/>
    <w:rsid w:val="00C43CFB"/>
    <w:rsid w:val="00C5005B"/>
    <w:rsid w:val="00C6255F"/>
    <w:rsid w:val="00C65954"/>
    <w:rsid w:val="00C65EFA"/>
    <w:rsid w:val="00C7096B"/>
    <w:rsid w:val="00C71E91"/>
    <w:rsid w:val="00C7274D"/>
    <w:rsid w:val="00C72838"/>
    <w:rsid w:val="00C76E5E"/>
    <w:rsid w:val="00C854C9"/>
    <w:rsid w:val="00C97A8B"/>
    <w:rsid w:val="00CA1E1C"/>
    <w:rsid w:val="00CA6B79"/>
    <w:rsid w:val="00CA70DB"/>
    <w:rsid w:val="00CB49BD"/>
    <w:rsid w:val="00CB66B2"/>
    <w:rsid w:val="00CC2676"/>
    <w:rsid w:val="00CC30B6"/>
    <w:rsid w:val="00CC7783"/>
    <w:rsid w:val="00CC7CBF"/>
    <w:rsid w:val="00CD5F03"/>
    <w:rsid w:val="00CD723C"/>
    <w:rsid w:val="00CD7E1F"/>
    <w:rsid w:val="00CE114A"/>
    <w:rsid w:val="00CE2AD2"/>
    <w:rsid w:val="00CE2D55"/>
    <w:rsid w:val="00CE3188"/>
    <w:rsid w:val="00CE7654"/>
    <w:rsid w:val="00CE7DFB"/>
    <w:rsid w:val="00CF2D38"/>
    <w:rsid w:val="00D01C03"/>
    <w:rsid w:val="00D04DE6"/>
    <w:rsid w:val="00D076B3"/>
    <w:rsid w:val="00D07D72"/>
    <w:rsid w:val="00D10269"/>
    <w:rsid w:val="00D11FFE"/>
    <w:rsid w:val="00D12F38"/>
    <w:rsid w:val="00D138AE"/>
    <w:rsid w:val="00D2010A"/>
    <w:rsid w:val="00D202E9"/>
    <w:rsid w:val="00D21CB4"/>
    <w:rsid w:val="00D23ACC"/>
    <w:rsid w:val="00D268AE"/>
    <w:rsid w:val="00D30501"/>
    <w:rsid w:val="00D316C6"/>
    <w:rsid w:val="00D34AC2"/>
    <w:rsid w:val="00D35B7F"/>
    <w:rsid w:val="00D373C4"/>
    <w:rsid w:val="00D42EE6"/>
    <w:rsid w:val="00D43E13"/>
    <w:rsid w:val="00D454A0"/>
    <w:rsid w:val="00D4632A"/>
    <w:rsid w:val="00D4655F"/>
    <w:rsid w:val="00D5427B"/>
    <w:rsid w:val="00D562FE"/>
    <w:rsid w:val="00D56A62"/>
    <w:rsid w:val="00D61CB3"/>
    <w:rsid w:val="00D62103"/>
    <w:rsid w:val="00D66498"/>
    <w:rsid w:val="00D7239D"/>
    <w:rsid w:val="00D729C0"/>
    <w:rsid w:val="00D76BF4"/>
    <w:rsid w:val="00D8172B"/>
    <w:rsid w:val="00D84425"/>
    <w:rsid w:val="00D84A0D"/>
    <w:rsid w:val="00D90A57"/>
    <w:rsid w:val="00D9201E"/>
    <w:rsid w:val="00D95282"/>
    <w:rsid w:val="00DA0EF3"/>
    <w:rsid w:val="00DA10A0"/>
    <w:rsid w:val="00DA24AF"/>
    <w:rsid w:val="00DA6907"/>
    <w:rsid w:val="00DB4EF0"/>
    <w:rsid w:val="00DB6CAA"/>
    <w:rsid w:val="00DC1E7A"/>
    <w:rsid w:val="00DC3966"/>
    <w:rsid w:val="00DC7B25"/>
    <w:rsid w:val="00DD074C"/>
    <w:rsid w:val="00DD2147"/>
    <w:rsid w:val="00DD3F4A"/>
    <w:rsid w:val="00DD5C0C"/>
    <w:rsid w:val="00DD7D08"/>
    <w:rsid w:val="00DE0B84"/>
    <w:rsid w:val="00DE0DF1"/>
    <w:rsid w:val="00DE1478"/>
    <w:rsid w:val="00DE474A"/>
    <w:rsid w:val="00DF6448"/>
    <w:rsid w:val="00E00527"/>
    <w:rsid w:val="00E027BF"/>
    <w:rsid w:val="00E06674"/>
    <w:rsid w:val="00E1093C"/>
    <w:rsid w:val="00E1151F"/>
    <w:rsid w:val="00E12311"/>
    <w:rsid w:val="00E16A7C"/>
    <w:rsid w:val="00E16E01"/>
    <w:rsid w:val="00E2777B"/>
    <w:rsid w:val="00E27A5F"/>
    <w:rsid w:val="00E27BAA"/>
    <w:rsid w:val="00E32097"/>
    <w:rsid w:val="00E359FC"/>
    <w:rsid w:val="00E36ECB"/>
    <w:rsid w:val="00E445B7"/>
    <w:rsid w:val="00E45A6F"/>
    <w:rsid w:val="00E502B7"/>
    <w:rsid w:val="00E50410"/>
    <w:rsid w:val="00E55336"/>
    <w:rsid w:val="00E56735"/>
    <w:rsid w:val="00E611A7"/>
    <w:rsid w:val="00E61E02"/>
    <w:rsid w:val="00E62A91"/>
    <w:rsid w:val="00E62EB2"/>
    <w:rsid w:val="00E65D0B"/>
    <w:rsid w:val="00E67E46"/>
    <w:rsid w:val="00E73FA1"/>
    <w:rsid w:val="00E7590E"/>
    <w:rsid w:val="00E76898"/>
    <w:rsid w:val="00E774EB"/>
    <w:rsid w:val="00E82168"/>
    <w:rsid w:val="00E82725"/>
    <w:rsid w:val="00E82D3E"/>
    <w:rsid w:val="00E85758"/>
    <w:rsid w:val="00E95509"/>
    <w:rsid w:val="00E97FB8"/>
    <w:rsid w:val="00EA27C9"/>
    <w:rsid w:val="00EA3ED8"/>
    <w:rsid w:val="00EA44BB"/>
    <w:rsid w:val="00EB3776"/>
    <w:rsid w:val="00EB4036"/>
    <w:rsid w:val="00EB4876"/>
    <w:rsid w:val="00EC3E92"/>
    <w:rsid w:val="00ED42D0"/>
    <w:rsid w:val="00ED4FB4"/>
    <w:rsid w:val="00ED58B3"/>
    <w:rsid w:val="00EE3728"/>
    <w:rsid w:val="00EF47A7"/>
    <w:rsid w:val="00EF5E54"/>
    <w:rsid w:val="00EF6009"/>
    <w:rsid w:val="00EF6A49"/>
    <w:rsid w:val="00EF6AFD"/>
    <w:rsid w:val="00EF7C3F"/>
    <w:rsid w:val="00F02A4C"/>
    <w:rsid w:val="00F042A6"/>
    <w:rsid w:val="00F06738"/>
    <w:rsid w:val="00F14206"/>
    <w:rsid w:val="00F16BA3"/>
    <w:rsid w:val="00F22842"/>
    <w:rsid w:val="00F25C43"/>
    <w:rsid w:val="00F26C6E"/>
    <w:rsid w:val="00F2759B"/>
    <w:rsid w:val="00F30A49"/>
    <w:rsid w:val="00F3478F"/>
    <w:rsid w:val="00F36305"/>
    <w:rsid w:val="00F371B9"/>
    <w:rsid w:val="00F4098D"/>
    <w:rsid w:val="00F424E9"/>
    <w:rsid w:val="00F4446C"/>
    <w:rsid w:val="00F458B2"/>
    <w:rsid w:val="00F52AD6"/>
    <w:rsid w:val="00F5390E"/>
    <w:rsid w:val="00F6002A"/>
    <w:rsid w:val="00F633C4"/>
    <w:rsid w:val="00F70CA1"/>
    <w:rsid w:val="00F713B4"/>
    <w:rsid w:val="00F74D67"/>
    <w:rsid w:val="00F77599"/>
    <w:rsid w:val="00F93955"/>
    <w:rsid w:val="00F95423"/>
    <w:rsid w:val="00FA103C"/>
    <w:rsid w:val="00FA10E8"/>
    <w:rsid w:val="00FA6764"/>
    <w:rsid w:val="00FB1116"/>
    <w:rsid w:val="00FB687C"/>
    <w:rsid w:val="00FB6E25"/>
    <w:rsid w:val="00FC0412"/>
    <w:rsid w:val="00FC1F6F"/>
    <w:rsid w:val="00FC2FA0"/>
    <w:rsid w:val="00FC4145"/>
    <w:rsid w:val="00FC4AE4"/>
    <w:rsid w:val="00FC5A9B"/>
    <w:rsid w:val="00FC653D"/>
    <w:rsid w:val="00FD5D95"/>
    <w:rsid w:val="00FE10BD"/>
    <w:rsid w:val="00FE1CCB"/>
    <w:rsid w:val="00FE405E"/>
    <w:rsid w:val="00FE58C2"/>
    <w:rsid w:val="00FF0BA2"/>
    <w:rsid w:val="00FF218B"/>
    <w:rsid w:val="00FF3853"/>
    <w:rsid w:val="00FF71EC"/>
    <w:rsid w:val="00FF74A5"/>
    <w:rsid w:val="00FF773D"/>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BD2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ianz Neo" w:eastAsia="Allianz Neo" w:hAnsi="Allianz Neo"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Z-P Text"/>
    <w:qFormat/>
    <w:rsid w:val="004C71AD"/>
    <w:pPr>
      <w:spacing w:line="260" w:lineRule="atLeast"/>
    </w:pPr>
    <w:rPr>
      <w:szCs w:val="18"/>
      <w:lang w:val="en-GB" w:eastAsia="en-US"/>
    </w:rPr>
  </w:style>
  <w:style w:type="paragraph" w:styleId="Heading1">
    <w:name w:val="heading 1"/>
    <w:aliases w:val="AZ-P Headline Level 1"/>
    <w:basedOn w:val="Normal"/>
    <w:next w:val="Normal"/>
    <w:link w:val="Heading1Char"/>
    <w:uiPriority w:val="9"/>
    <w:rsid w:val="008109B4"/>
    <w:pPr>
      <w:keepNext/>
      <w:keepLines/>
      <w:spacing w:line="1200" w:lineRule="exact"/>
      <w:ind w:left="-29" w:hanging="1814"/>
      <w:outlineLvl w:val="0"/>
    </w:pPr>
    <w:rPr>
      <w:rFonts w:eastAsia="Times New Roman"/>
      <w:color w:val="003781"/>
      <w:spacing w:val="-80"/>
      <w:sz w:val="130"/>
      <w:szCs w:val="32"/>
    </w:rPr>
  </w:style>
  <w:style w:type="paragraph" w:styleId="Heading2">
    <w:name w:val="heading 2"/>
    <w:aliases w:val="AZ-P Headline Level 2"/>
    <w:basedOn w:val="Heading1"/>
    <w:next w:val="Normal"/>
    <w:link w:val="Heading2Char"/>
    <w:uiPriority w:val="9"/>
    <w:qFormat/>
    <w:rsid w:val="009F69DD"/>
    <w:pPr>
      <w:keepNext w:val="0"/>
      <w:spacing w:before="240" w:line="300" w:lineRule="exact"/>
      <w:ind w:left="0" w:firstLine="0"/>
      <w:outlineLvl w:val="1"/>
    </w:pPr>
    <w:rPr>
      <w:b/>
      <w:spacing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85C"/>
    <w:pPr>
      <w:numPr>
        <w:numId w:val="2"/>
      </w:numPr>
      <w:spacing w:after="280" w:line="280" w:lineRule="atLeast"/>
      <w:contextualSpacing/>
    </w:pPr>
    <w:rPr>
      <w:color w:val="003781"/>
    </w:rPr>
  </w:style>
  <w:style w:type="character" w:customStyle="1" w:styleId="Heading1Char">
    <w:name w:val="Heading 1 Char"/>
    <w:aliases w:val="AZ-P Headline Level 1 Char"/>
    <w:link w:val="Heading1"/>
    <w:uiPriority w:val="9"/>
    <w:rsid w:val="008109B4"/>
    <w:rPr>
      <w:rFonts w:ascii="Allianz Neo" w:eastAsia="Times New Roman" w:hAnsi="Allianz Neo" w:cs="Times New Roman"/>
      <w:color w:val="003781"/>
      <w:spacing w:val="-80"/>
      <w:sz w:val="130"/>
      <w:szCs w:val="32"/>
      <w:lang w:val="en-GB"/>
    </w:rPr>
  </w:style>
  <w:style w:type="character" w:customStyle="1" w:styleId="AZ-TBrandColorBlue3">
    <w:name w:val="AZ-T Brand Color Blue 3"/>
    <w:uiPriority w:val="1"/>
    <w:qFormat/>
    <w:rsid w:val="006C760F"/>
    <w:rPr>
      <w:color w:val="13A0D3"/>
    </w:rPr>
  </w:style>
  <w:style w:type="character" w:customStyle="1" w:styleId="Heading2Char">
    <w:name w:val="Heading 2 Char"/>
    <w:aliases w:val="AZ-P Headline Level 2 Char"/>
    <w:link w:val="Heading2"/>
    <w:uiPriority w:val="9"/>
    <w:rsid w:val="009F69DD"/>
    <w:rPr>
      <w:rFonts w:ascii="Allianz Neo" w:eastAsia="Times New Roman" w:hAnsi="Allianz Neo" w:cs="Times New Roman"/>
      <w:b/>
      <w:color w:val="003781"/>
      <w:sz w:val="20"/>
      <w:szCs w:val="32"/>
      <w:lang w:val="en-GB"/>
    </w:rPr>
  </w:style>
  <w:style w:type="paragraph" w:customStyle="1" w:styleId="AZ-PSender">
    <w:name w:val="AZ-P Sender"/>
    <w:basedOn w:val="Normal"/>
    <w:qFormat/>
    <w:rsid w:val="00F77599"/>
  </w:style>
  <w:style w:type="paragraph" w:styleId="Header">
    <w:name w:val="header"/>
    <w:basedOn w:val="Normal"/>
    <w:link w:val="HeaderChar"/>
    <w:uiPriority w:val="99"/>
    <w:semiHidden/>
    <w:rsid w:val="00F77599"/>
    <w:pPr>
      <w:tabs>
        <w:tab w:val="center" w:pos="4536"/>
        <w:tab w:val="right" w:pos="9072"/>
      </w:tabs>
      <w:spacing w:line="240" w:lineRule="auto"/>
    </w:pPr>
  </w:style>
  <w:style w:type="character" w:customStyle="1" w:styleId="HeaderChar">
    <w:name w:val="Header Char"/>
    <w:link w:val="Header"/>
    <w:uiPriority w:val="99"/>
    <w:semiHidden/>
    <w:rsid w:val="005A462F"/>
    <w:rPr>
      <w:sz w:val="30"/>
      <w:lang w:val="en-GB"/>
    </w:rPr>
  </w:style>
  <w:style w:type="paragraph" w:styleId="Footer">
    <w:name w:val="footer"/>
    <w:aliases w:val="AT-P Footer"/>
    <w:basedOn w:val="Normal"/>
    <w:link w:val="FooterChar"/>
    <w:uiPriority w:val="99"/>
    <w:rsid w:val="00070BAA"/>
    <w:pPr>
      <w:tabs>
        <w:tab w:val="center" w:pos="4536"/>
        <w:tab w:val="right" w:pos="9072"/>
      </w:tabs>
      <w:spacing w:line="180" w:lineRule="exact"/>
    </w:pPr>
    <w:rPr>
      <w:color w:val="003781"/>
      <w:sz w:val="14"/>
    </w:rPr>
  </w:style>
  <w:style w:type="character" w:customStyle="1" w:styleId="FooterChar">
    <w:name w:val="Footer Char"/>
    <w:aliases w:val="AT-P Footer Char"/>
    <w:link w:val="Footer"/>
    <w:uiPriority w:val="99"/>
    <w:rsid w:val="00070BAA"/>
    <w:rPr>
      <w:color w:val="003781"/>
      <w:sz w:val="14"/>
      <w:lang w:val="en-GB"/>
    </w:rPr>
  </w:style>
  <w:style w:type="paragraph" w:customStyle="1" w:styleId="AZ-PCompany">
    <w:name w:val="AZ-P Company"/>
    <w:basedOn w:val="Normal"/>
    <w:qFormat/>
    <w:rsid w:val="009F69DD"/>
    <w:pPr>
      <w:spacing w:after="360"/>
      <w:ind w:left="-1843"/>
    </w:pPr>
    <w:rPr>
      <w:rFonts w:ascii="Allianz Neo SemiBold" w:hAnsi="Allianz Neo SemiBold"/>
      <w:caps/>
      <w:color w:val="003781"/>
      <w:spacing w:val="12"/>
    </w:rPr>
  </w:style>
  <w:style w:type="character" w:styleId="PlaceholderText">
    <w:name w:val="Placeholder Text"/>
    <w:uiPriority w:val="99"/>
    <w:semiHidden/>
    <w:rsid w:val="00C71E91"/>
    <w:rPr>
      <w:color w:val="808080"/>
    </w:rPr>
  </w:style>
  <w:style w:type="paragraph" w:customStyle="1" w:styleId="AZ-PDate">
    <w:name w:val="AZ-P Date"/>
    <w:basedOn w:val="AZ-PSender"/>
    <w:qFormat/>
    <w:rsid w:val="00C71E91"/>
  </w:style>
  <w:style w:type="paragraph" w:styleId="Subtitle">
    <w:name w:val="Subtitle"/>
    <w:aliases w:val="AZ-P Subtitle"/>
    <w:basedOn w:val="Normal"/>
    <w:next w:val="Normal"/>
    <w:link w:val="SubtitleChar"/>
    <w:uiPriority w:val="11"/>
    <w:qFormat/>
    <w:rsid w:val="009F69DD"/>
    <w:pPr>
      <w:numPr>
        <w:ilvl w:val="1"/>
      </w:numPr>
      <w:spacing w:before="660" w:after="240" w:line="360" w:lineRule="exact"/>
    </w:pPr>
    <w:rPr>
      <w:rFonts w:eastAsia="Times New Roman"/>
      <w:b/>
      <w:color w:val="003781"/>
      <w:sz w:val="30"/>
      <w:szCs w:val="22"/>
    </w:rPr>
  </w:style>
  <w:style w:type="character" w:customStyle="1" w:styleId="SubtitleChar">
    <w:name w:val="Subtitle Char"/>
    <w:aliases w:val="AZ-P Subtitle Char"/>
    <w:link w:val="Subtitle"/>
    <w:uiPriority w:val="11"/>
    <w:rsid w:val="009F69DD"/>
    <w:rPr>
      <w:rFonts w:eastAsia="Times New Roman"/>
      <w:b/>
      <w:color w:val="003781"/>
      <w:sz w:val="30"/>
      <w:szCs w:val="22"/>
      <w:lang w:val="en-GB"/>
    </w:rPr>
  </w:style>
  <w:style w:type="paragraph" w:customStyle="1" w:styleId="AZ-PList">
    <w:name w:val="AZ-P List"/>
    <w:basedOn w:val="Normal"/>
    <w:qFormat/>
    <w:rsid w:val="0049541C"/>
    <w:pPr>
      <w:numPr>
        <w:numId w:val="4"/>
      </w:numPr>
    </w:pPr>
    <w:rPr>
      <w:color w:val="003781"/>
    </w:rPr>
  </w:style>
  <w:style w:type="table" w:styleId="TableGrid">
    <w:name w:val="Table Grid"/>
    <w:basedOn w:val="TableNormal"/>
    <w:uiPriority w:val="59"/>
    <w:rsid w:val="0072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Z-PSmall">
    <w:name w:val="AZ-P Small"/>
    <w:basedOn w:val="Normal"/>
    <w:qFormat/>
    <w:rsid w:val="00070BAA"/>
    <w:pPr>
      <w:spacing w:line="168" w:lineRule="exact"/>
    </w:pPr>
    <w:rPr>
      <w:color w:val="414141"/>
      <w:spacing w:val="1"/>
      <w:sz w:val="14"/>
    </w:rPr>
  </w:style>
  <w:style w:type="table" w:customStyle="1" w:styleId="AZPressContact">
    <w:name w:val="AZ PressContact"/>
    <w:basedOn w:val="TableNormal"/>
    <w:uiPriority w:val="99"/>
    <w:rsid w:val="0037149F"/>
    <w:pPr>
      <w:spacing w:line="260" w:lineRule="exact"/>
    </w:pPr>
    <w:rPr>
      <w:color w:val="003781"/>
    </w:rPr>
    <w:tblPr>
      <w:tblBorders>
        <w:top w:val="single" w:sz="4" w:space="0" w:color="003781"/>
        <w:bottom w:val="single" w:sz="4" w:space="0" w:color="003781"/>
      </w:tblBorders>
      <w:tblCellMar>
        <w:top w:w="312" w:type="dxa"/>
        <w:left w:w="0" w:type="dxa"/>
        <w:bottom w:w="312" w:type="dxa"/>
        <w:right w:w="0" w:type="dxa"/>
      </w:tblCellMar>
    </w:tblPr>
  </w:style>
  <w:style w:type="paragraph" w:customStyle="1" w:styleId="AZ-PHeadlineLevel2Small">
    <w:name w:val="AZ-P Headline Level 2 Small"/>
    <w:basedOn w:val="Heading2"/>
    <w:qFormat/>
    <w:rsid w:val="00045A3B"/>
    <w:pPr>
      <w:pBdr>
        <w:top w:val="single" w:sz="4" w:space="12" w:color="003781"/>
      </w:pBdr>
      <w:spacing w:before="0"/>
    </w:pPr>
    <w:rPr>
      <w:sz w:val="14"/>
      <w:szCs w:val="14"/>
    </w:rPr>
  </w:style>
  <w:style w:type="character" w:styleId="Hyperlink">
    <w:name w:val="Hyperlink"/>
    <w:basedOn w:val="DefaultParagraphFont"/>
    <w:uiPriority w:val="99"/>
    <w:semiHidden/>
    <w:rsid w:val="00435EF6"/>
    <w:rPr>
      <w:color w:val="0563C1" w:themeColor="hyperlink"/>
      <w:u w:val="single"/>
    </w:rPr>
  </w:style>
  <w:style w:type="character" w:styleId="CommentReference">
    <w:name w:val="annotation reference"/>
    <w:basedOn w:val="DefaultParagraphFont"/>
    <w:uiPriority w:val="99"/>
    <w:semiHidden/>
    <w:rsid w:val="006B65E5"/>
    <w:rPr>
      <w:sz w:val="16"/>
      <w:szCs w:val="16"/>
    </w:rPr>
  </w:style>
  <w:style w:type="paragraph" w:styleId="CommentText">
    <w:name w:val="annotation text"/>
    <w:basedOn w:val="Normal"/>
    <w:link w:val="CommentTextChar"/>
    <w:uiPriority w:val="99"/>
    <w:semiHidden/>
    <w:rsid w:val="006B65E5"/>
    <w:pPr>
      <w:spacing w:line="240" w:lineRule="auto"/>
    </w:pPr>
    <w:rPr>
      <w:szCs w:val="20"/>
    </w:rPr>
  </w:style>
  <w:style w:type="character" w:customStyle="1" w:styleId="CommentTextChar">
    <w:name w:val="Comment Text Char"/>
    <w:basedOn w:val="DefaultParagraphFont"/>
    <w:link w:val="CommentText"/>
    <w:uiPriority w:val="99"/>
    <w:semiHidden/>
    <w:rsid w:val="006B65E5"/>
    <w:rPr>
      <w:lang w:val="en-GB" w:eastAsia="en-US"/>
    </w:rPr>
  </w:style>
  <w:style w:type="paragraph" w:styleId="CommentSubject">
    <w:name w:val="annotation subject"/>
    <w:basedOn w:val="CommentText"/>
    <w:next w:val="CommentText"/>
    <w:link w:val="CommentSubjectChar"/>
    <w:uiPriority w:val="99"/>
    <w:semiHidden/>
    <w:rsid w:val="006B65E5"/>
    <w:rPr>
      <w:b/>
      <w:bCs/>
    </w:rPr>
  </w:style>
  <w:style w:type="character" w:customStyle="1" w:styleId="CommentSubjectChar">
    <w:name w:val="Comment Subject Char"/>
    <w:basedOn w:val="CommentTextChar"/>
    <w:link w:val="CommentSubject"/>
    <w:uiPriority w:val="99"/>
    <w:semiHidden/>
    <w:rsid w:val="006B65E5"/>
    <w:rPr>
      <w:b/>
      <w:bCs/>
      <w:lang w:val="en-GB" w:eastAsia="en-US"/>
    </w:rPr>
  </w:style>
  <w:style w:type="paragraph" w:styleId="BalloonText">
    <w:name w:val="Balloon Text"/>
    <w:basedOn w:val="Normal"/>
    <w:link w:val="BalloonTextChar"/>
    <w:uiPriority w:val="99"/>
    <w:semiHidden/>
    <w:rsid w:val="006B65E5"/>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B65E5"/>
    <w:rPr>
      <w:rFonts w:ascii="Segoe UI" w:hAnsi="Segoe UI" w:cs="Segoe UI"/>
      <w:sz w:val="18"/>
      <w:szCs w:val="18"/>
      <w:lang w:val="en-GB" w:eastAsia="en-US"/>
    </w:rPr>
  </w:style>
  <w:style w:type="paragraph" w:styleId="Revision">
    <w:name w:val="Revision"/>
    <w:hidden/>
    <w:uiPriority w:val="99"/>
    <w:semiHidden/>
    <w:rsid w:val="00683109"/>
    <w:rPr>
      <w:szCs w:val="18"/>
      <w:lang w:val="en-GB" w:eastAsia="en-US"/>
    </w:rPr>
  </w:style>
  <w:style w:type="character" w:customStyle="1" w:styleId="UnresolvedMention1">
    <w:name w:val="Unresolved Mention1"/>
    <w:basedOn w:val="DefaultParagraphFont"/>
    <w:uiPriority w:val="99"/>
    <w:semiHidden/>
    <w:unhideWhenUsed/>
    <w:rsid w:val="00135D64"/>
    <w:rPr>
      <w:color w:val="605E5C"/>
      <w:shd w:val="clear" w:color="auto" w:fill="E1DFDD"/>
    </w:rPr>
  </w:style>
  <w:style w:type="character" w:customStyle="1" w:styleId="UnresolvedMention">
    <w:name w:val="Unresolved Mention"/>
    <w:basedOn w:val="DefaultParagraphFont"/>
    <w:uiPriority w:val="99"/>
    <w:semiHidden/>
    <w:unhideWhenUsed/>
    <w:rsid w:val="00565A83"/>
    <w:rPr>
      <w:color w:val="605E5C"/>
      <w:shd w:val="clear" w:color="auto" w:fill="E1DFDD"/>
    </w:rPr>
  </w:style>
  <w:style w:type="character" w:styleId="FollowedHyperlink">
    <w:name w:val="FollowedHyperlink"/>
    <w:basedOn w:val="DefaultParagraphFont"/>
    <w:uiPriority w:val="99"/>
    <w:semiHidden/>
    <w:rsid w:val="002C7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048">
      <w:bodyDiv w:val="1"/>
      <w:marLeft w:val="0"/>
      <w:marRight w:val="0"/>
      <w:marTop w:val="0"/>
      <w:marBottom w:val="0"/>
      <w:divBdr>
        <w:top w:val="none" w:sz="0" w:space="0" w:color="auto"/>
        <w:left w:val="none" w:sz="0" w:space="0" w:color="auto"/>
        <w:bottom w:val="none" w:sz="0" w:space="0" w:color="auto"/>
        <w:right w:val="none" w:sz="0" w:space="0" w:color="auto"/>
      </w:divBdr>
    </w:div>
    <w:div w:id="116723841">
      <w:bodyDiv w:val="1"/>
      <w:marLeft w:val="0"/>
      <w:marRight w:val="0"/>
      <w:marTop w:val="0"/>
      <w:marBottom w:val="0"/>
      <w:divBdr>
        <w:top w:val="none" w:sz="0" w:space="0" w:color="auto"/>
        <w:left w:val="none" w:sz="0" w:space="0" w:color="auto"/>
        <w:bottom w:val="none" w:sz="0" w:space="0" w:color="auto"/>
        <w:right w:val="none" w:sz="0" w:space="0" w:color="auto"/>
      </w:divBdr>
    </w:div>
    <w:div w:id="230653903">
      <w:bodyDiv w:val="1"/>
      <w:marLeft w:val="0"/>
      <w:marRight w:val="0"/>
      <w:marTop w:val="0"/>
      <w:marBottom w:val="0"/>
      <w:divBdr>
        <w:top w:val="none" w:sz="0" w:space="0" w:color="auto"/>
        <w:left w:val="none" w:sz="0" w:space="0" w:color="auto"/>
        <w:bottom w:val="none" w:sz="0" w:space="0" w:color="auto"/>
        <w:right w:val="none" w:sz="0" w:space="0" w:color="auto"/>
      </w:divBdr>
    </w:div>
    <w:div w:id="546181903">
      <w:bodyDiv w:val="1"/>
      <w:marLeft w:val="0"/>
      <w:marRight w:val="0"/>
      <w:marTop w:val="0"/>
      <w:marBottom w:val="0"/>
      <w:divBdr>
        <w:top w:val="none" w:sz="0" w:space="0" w:color="auto"/>
        <w:left w:val="none" w:sz="0" w:space="0" w:color="auto"/>
        <w:bottom w:val="none" w:sz="0" w:space="0" w:color="auto"/>
        <w:right w:val="none" w:sz="0" w:space="0" w:color="auto"/>
      </w:divBdr>
    </w:div>
    <w:div w:id="772018890">
      <w:bodyDiv w:val="1"/>
      <w:marLeft w:val="0"/>
      <w:marRight w:val="0"/>
      <w:marTop w:val="0"/>
      <w:marBottom w:val="0"/>
      <w:divBdr>
        <w:top w:val="none" w:sz="0" w:space="0" w:color="auto"/>
        <w:left w:val="none" w:sz="0" w:space="0" w:color="auto"/>
        <w:bottom w:val="none" w:sz="0" w:space="0" w:color="auto"/>
        <w:right w:val="none" w:sz="0" w:space="0" w:color="auto"/>
      </w:divBdr>
    </w:div>
    <w:div w:id="960377974">
      <w:bodyDiv w:val="1"/>
      <w:marLeft w:val="0"/>
      <w:marRight w:val="0"/>
      <w:marTop w:val="0"/>
      <w:marBottom w:val="0"/>
      <w:divBdr>
        <w:top w:val="none" w:sz="0" w:space="0" w:color="auto"/>
        <w:left w:val="none" w:sz="0" w:space="0" w:color="auto"/>
        <w:bottom w:val="none" w:sz="0" w:space="0" w:color="auto"/>
        <w:right w:val="none" w:sz="0" w:space="0" w:color="auto"/>
      </w:divBdr>
    </w:div>
    <w:div w:id="1053582886">
      <w:bodyDiv w:val="1"/>
      <w:marLeft w:val="0"/>
      <w:marRight w:val="0"/>
      <w:marTop w:val="0"/>
      <w:marBottom w:val="0"/>
      <w:divBdr>
        <w:top w:val="none" w:sz="0" w:space="0" w:color="auto"/>
        <w:left w:val="none" w:sz="0" w:space="0" w:color="auto"/>
        <w:bottom w:val="none" w:sz="0" w:space="0" w:color="auto"/>
        <w:right w:val="none" w:sz="0" w:space="0" w:color="auto"/>
      </w:divBdr>
    </w:div>
    <w:div w:id="1304627722">
      <w:bodyDiv w:val="1"/>
      <w:marLeft w:val="0"/>
      <w:marRight w:val="0"/>
      <w:marTop w:val="0"/>
      <w:marBottom w:val="0"/>
      <w:divBdr>
        <w:top w:val="none" w:sz="0" w:space="0" w:color="auto"/>
        <w:left w:val="none" w:sz="0" w:space="0" w:color="auto"/>
        <w:bottom w:val="none" w:sz="0" w:space="0" w:color="auto"/>
        <w:right w:val="none" w:sz="0" w:space="0" w:color="auto"/>
      </w:divBdr>
    </w:div>
    <w:div w:id="1385451721">
      <w:bodyDiv w:val="1"/>
      <w:marLeft w:val="0"/>
      <w:marRight w:val="0"/>
      <w:marTop w:val="0"/>
      <w:marBottom w:val="0"/>
      <w:divBdr>
        <w:top w:val="none" w:sz="0" w:space="0" w:color="auto"/>
        <w:left w:val="none" w:sz="0" w:space="0" w:color="auto"/>
        <w:bottom w:val="none" w:sz="0" w:space="0" w:color="auto"/>
        <w:right w:val="none" w:sz="0" w:space="0" w:color="auto"/>
      </w:divBdr>
    </w:div>
    <w:div w:id="1917083293">
      <w:bodyDiv w:val="1"/>
      <w:marLeft w:val="0"/>
      <w:marRight w:val="0"/>
      <w:marTop w:val="0"/>
      <w:marBottom w:val="0"/>
      <w:divBdr>
        <w:top w:val="none" w:sz="0" w:space="0" w:color="auto"/>
        <w:left w:val="none" w:sz="0" w:space="0" w:color="auto"/>
        <w:bottom w:val="none" w:sz="0" w:space="0" w:color="auto"/>
        <w:right w:val="none" w:sz="0" w:space="0" w:color="auto"/>
      </w:divBdr>
    </w:div>
    <w:div w:id="21117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rian.russell@allianz-trad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llianz-trade.com/en_global/news-insights/economic-insights/holiday-2022-economic-outlook.html" TargetMode="External"/><Relationship Id="rId17" Type="http://schemas.openxmlformats.org/officeDocument/2006/relationships/hyperlink" Target="https://twitter.com/AllianzTrade" TargetMode="External"/><Relationship Id="rId2" Type="http://schemas.openxmlformats.org/officeDocument/2006/relationships/customXml" Target="../customXml/item2.xml"/><Relationship Id="rId16" Type="http://schemas.openxmlformats.org/officeDocument/2006/relationships/hyperlink" Target="https://www.linkedin.com/company/allianz-trade-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allianz-trade.com/en_GB.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elam.bhangu@allianz-trad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Citypress branded)" ma:contentTypeID="0x010100C62698B8C5716545AB7D0C230F378B7100BEEFC98CB375AE4E8728B95794081ACD" ma:contentTypeVersion="18" ma:contentTypeDescription="Create a new Word document " ma:contentTypeScope="" ma:versionID="90ab1f0bfbf324bf9097df731adc05c9">
  <xsd:schema xmlns:xsd="http://www.w3.org/2001/XMLSchema" xmlns:xs="http://www.w3.org/2001/XMLSchema" xmlns:p="http://schemas.microsoft.com/office/2006/metadata/properties" targetNamespace="http://schemas.microsoft.com/office/2006/metadata/properties" ma:root="true" ma:fieldsID="f97f391e135d07d2e1c10ca956c76f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732FFB-7D52-4F53-B0EA-B32FA12F0C01}">
  <ds:schemaRefs>
    <ds:schemaRef ds:uri="http://schemas.microsoft.com/sharepoint/v3/contenttype/forms"/>
  </ds:schemaRefs>
</ds:datastoreItem>
</file>

<file path=customXml/itemProps3.xml><?xml version="1.0" encoding="utf-8"?>
<ds:datastoreItem xmlns:ds="http://schemas.openxmlformats.org/officeDocument/2006/customXml" ds:itemID="{18B8B8E8-558E-4A77-90CA-E0348011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D91D47-05F5-4674-88EE-3C5CD56ADD1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EA7A3BFF-1B64-4DE5-8284-097381E3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9322</CharactersWithSpaces>
  <SharedDoc>false</SharedDoc>
  <HLinks>
    <vt:vector size="30" baseType="variant">
      <vt:variant>
        <vt:i4>131113</vt:i4>
      </vt:variant>
      <vt:variant>
        <vt:i4>12</vt:i4>
      </vt:variant>
      <vt:variant>
        <vt:i4>0</vt:i4>
      </vt:variant>
      <vt:variant>
        <vt:i4>5</vt:i4>
      </vt:variant>
      <vt:variant>
        <vt:lpwstr>mailto:max.ibbotson@citypress.co.uk</vt:lpwstr>
      </vt:variant>
      <vt:variant>
        <vt:lpwstr/>
      </vt:variant>
      <vt:variant>
        <vt:i4>7340083</vt:i4>
      </vt:variant>
      <vt:variant>
        <vt:i4>9</vt:i4>
      </vt:variant>
      <vt:variant>
        <vt:i4>0</vt:i4>
      </vt:variant>
      <vt:variant>
        <vt:i4>5</vt:i4>
      </vt:variant>
      <vt:variant>
        <vt:lpwstr>https://twitter.com/AllianzTradeFR</vt:lpwstr>
      </vt:variant>
      <vt:variant>
        <vt:lpwstr/>
      </vt:variant>
      <vt:variant>
        <vt:i4>7667834</vt:i4>
      </vt:variant>
      <vt:variant>
        <vt:i4>6</vt:i4>
      </vt:variant>
      <vt:variant>
        <vt:i4>0</vt:i4>
      </vt:variant>
      <vt:variant>
        <vt:i4>5</vt:i4>
      </vt:variant>
      <vt:variant>
        <vt:lpwstr>https://www.linkedin.com/company/allianz-trade-france/</vt:lpwstr>
      </vt:variant>
      <vt:variant>
        <vt:lpwstr/>
      </vt:variant>
      <vt:variant>
        <vt:i4>327716</vt:i4>
      </vt:variant>
      <vt:variant>
        <vt:i4>3</vt:i4>
      </vt:variant>
      <vt:variant>
        <vt:i4>0</vt:i4>
      </vt:variant>
      <vt:variant>
        <vt:i4>5</vt:i4>
      </vt:variant>
      <vt:variant>
        <vt:lpwstr>mailto:adrian.russell@allianz-trade.com</vt:lpwstr>
      </vt:variant>
      <vt:variant>
        <vt:lpwstr/>
      </vt:variant>
      <vt:variant>
        <vt:i4>7995447</vt:i4>
      </vt:variant>
      <vt:variant>
        <vt:i4>0</vt:i4>
      </vt:variant>
      <vt:variant>
        <vt:i4>0</vt:i4>
      </vt:variant>
      <vt:variant>
        <vt:i4>5</vt:i4>
      </vt:variant>
      <vt:variant>
        <vt:lpwstr>https://www.allianz.com/en/economic_research/publications/specials_fmo/uk-gilt-crash.html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2022-12-23T10:02:00Z</dcterms:created>
  <dcterms:modified xsi:type="dcterms:W3CDTF">2023-01-02T09:04:00Z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0x010100C62698B8C5716545AB7D0C230F378B7100BEEFC98CB375AE4E8728B95794081ACD</vt:lpwstr>
  </property>
</Properties>
</file>