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699C" w14:textId="77777777" w:rsidR="00845A77" w:rsidRPr="00B237F9" w:rsidRDefault="00845A77" w:rsidP="00845A77">
      <w:pPr>
        <w:spacing w:line="360" w:lineRule="auto"/>
        <w:rPr>
          <w:rFonts w:ascii="Arial" w:hAnsi="Arial" w:cs="Arial"/>
          <w:sz w:val="18"/>
          <w:szCs w:val="18"/>
        </w:rPr>
      </w:pPr>
    </w:p>
    <w:p w14:paraId="79CBCC15" w14:textId="4227DF50" w:rsidR="00B34C88" w:rsidRPr="002F7B3A" w:rsidRDefault="00845A77" w:rsidP="002F7B3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F7B3A">
        <w:rPr>
          <w:rFonts w:ascii="Arial" w:hAnsi="Arial" w:cs="Arial"/>
          <w:b/>
          <w:bCs/>
          <w:sz w:val="20"/>
          <w:szCs w:val="20"/>
        </w:rPr>
        <w:t xml:space="preserve">PRESS RELEASE </w:t>
      </w:r>
      <w:r w:rsidRPr="002F7B3A">
        <w:rPr>
          <w:rFonts w:ascii="Arial" w:hAnsi="Arial" w:cs="Arial"/>
          <w:b/>
          <w:bCs/>
          <w:sz w:val="20"/>
          <w:szCs w:val="20"/>
        </w:rPr>
        <w:tab/>
      </w:r>
      <w:r w:rsidRPr="002F7B3A">
        <w:rPr>
          <w:rFonts w:ascii="Arial" w:hAnsi="Arial" w:cs="Arial"/>
          <w:b/>
          <w:bCs/>
          <w:sz w:val="20"/>
          <w:szCs w:val="20"/>
        </w:rPr>
        <w:tab/>
      </w:r>
      <w:r w:rsidRPr="002F7B3A">
        <w:rPr>
          <w:rFonts w:ascii="Arial" w:hAnsi="Arial" w:cs="Arial"/>
          <w:b/>
          <w:bCs/>
          <w:sz w:val="20"/>
          <w:szCs w:val="20"/>
        </w:rPr>
        <w:tab/>
      </w:r>
      <w:r w:rsidRPr="002F7B3A">
        <w:rPr>
          <w:rFonts w:ascii="Arial" w:hAnsi="Arial" w:cs="Arial"/>
          <w:b/>
          <w:bCs/>
          <w:sz w:val="20"/>
          <w:szCs w:val="20"/>
        </w:rPr>
        <w:tab/>
      </w:r>
      <w:r w:rsidRPr="002F7B3A">
        <w:rPr>
          <w:rFonts w:ascii="Arial" w:hAnsi="Arial" w:cs="Arial"/>
          <w:b/>
          <w:bCs/>
          <w:sz w:val="20"/>
          <w:szCs w:val="20"/>
        </w:rPr>
        <w:tab/>
      </w:r>
      <w:r w:rsidRPr="002F7B3A">
        <w:rPr>
          <w:rFonts w:ascii="Arial" w:hAnsi="Arial" w:cs="Arial"/>
          <w:b/>
          <w:bCs/>
          <w:sz w:val="20"/>
          <w:szCs w:val="20"/>
        </w:rPr>
        <w:tab/>
      </w:r>
      <w:r w:rsidRPr="002F7B3A">
        <w:rPr>
          <w:rFonts w:ascii="Arial" w:hAnsi="Arial" w:cs="Arial"/>
          <w:b/>
          <w:bCs/>
          <w:sz w:val="20"/>
          <w:szCs w:val="20"/>
        </w:rPr>
        <w:tab/>
      </w:r>
      <w:r w:rsidRPr="002F7B3A">
        <w:rPr>
          <w:rFonts w:ascii="Arial" w:hAnsi="Arial" w:cs="Arial"/>
          <w:b/>
          <w:bCs/>
          <w:sz w:val="20"/>
          <w:szCs w:val="20"/>
        </w:rPr>
        <w:tab/>
      </w:r>
      <w:r w:rsidR="00B237F9" w:rsidRPr="002F7B3A">
        <w:rPr>
          <w:rFonts w:ascii="Arial" w:hAnsi="Arial" w:cs="Arial"/>
          <w:b/>
          <w:bCs/>
          <w:sz w:val="20"/>
          <w:szCs w:val="20"/>
        </w:rPr>
        <w:tab/>
      </w:r>
      <w:r w:rsidR="003B6F32">
        <w:rPr>
          <w:rFonts w:ascii="Arial" w:hAnsi="Arial" w:cs="Arial"/>
          <w:b/>
          <w:bCs/>
          <w:sz w:val="20"/>
          <w:szCs w:val="20"/>
        </w:rPr>
        <w:t>FINAL</w:t>
      </w:r>
    </w:p>
    <w:p w14:paraId="7A78CCCF" w14:textId="77777777" w:rsidR="00BF5DC4" w:rsidRDefault="00BF5DC4" w:rsidP="002F7B3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86DB63" w14:textId="330C507E" w:rsidR="00845A77" w:rsidRPr="002F7B3A" w:rsidRDefault="00A739A7" w:rsidP="002F7B3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7B3A">
        <w:rPr>
          <w:rFonts w:ascii="Arial" w:hAnsi="Arial" w:cs="Arial"/>
          <w:b/>
          <w:bCs/>
          <w:sz w:val="20"/>
          <w:szCs w:val="20"/>
        </w:rPr>
        <w:t>Russia's invasion of Ukraine throws sand in the wheels of the global economy</w:t>
      </w:r>
    </w:p>
    <w:p w14:paraId="164D54B9" w14:textId="018B2E53" w:rsidR="00D609BE" w:rsidRPr="002F7B3A" w:rsidRDefault="00A04471" w:rsidP="002F7B3A">
      <w:pPr>
        <w:spacing w:line="360" w:lineRule="auto"/>
        <w:rPr>
          <w:rFonts w:ascii="Arial" w:hAnsi="Arial" w:cs="Arial"/>
          <w:sz w:val="20"/>
          <w:szCs w:val="20"/>
        </w:rPr>
      </w:pPr>
      <w:r w:rsidRPr="002F7B3A">
        <w:rPr>
          <w:rFonts w:ascii="Arial" w:hAnsi="Arial" w:cs="Arial"/>
          <w:sz w:val="20"/>
          <w:szCs w:val="20"/>
        </w:rPr>
        <w:t xml:space="preserve">The global economy remains challenged by supply chain issues and high energy prices, with the Russia-Ukraine conflict further increasing commodity prices and inflation, reports leading insurer Atradius.  </w:t>
      </w:r>
    </w:p>
    <w:p w14:paraId="51B533B7" w14:textId="7942AE04" w:rsidR="00A32244" w:rsidRPr="002F7B3A" w:rsidRDefault="00364C12" w:rsidP="002F7B3A">
      <w:pPr>
        <w:spacing w:line="360" w:lineRule="auto"/>
        <w:rPr>
          <w:rFonts w:ascii="Arial" w:hAnsi="Arial" w:cs="Arial"/>
          <w:sz w:val="20"/>
          <w:szCs w:val="20"/>
        </w:rPr>
      </w:pPr>
      <w:r w:rsidRPr="002F7B3A">
        <w:rPr>
          <w:rFonts w:ascii="Arial" w:hAnsi="Arial" w:cs="Arial"/>
          <w:sz w:val="20"/>
          <w:szCs w:val="20"/>
        </w:rPr>
        <w:t xml:space="preserve">In its latest Economic Outlook report, Atradius </w:t>
      </w:r>
      <w:r w:rsidR="00BF2459" w:rsidRPr="002F7B3A">
        <w:rPr>
          <w:rFonts w:ascii="Arial" w:hAnsi="Arial" w:cs="Arial"/>
          <w:sz w:val="20"/>
          <w:szCs w:val="20"/>
        </w:rPr>
        <w:t>highlights</w:t>
      </w:r>
      <w:r w:rsidRPr="002F7B3A">
        <w:rPr>
          <w:rFonts w:ascii="Arial" w:hAnsi="Arial" w:cs="Arial"/>
          <w:sz w:val="20"/>
          <w:szCs w:val="20"/>
        </w:rPr>
        <w:t xml:space="preserve"> that global recovery from the impact of the pandemic has been thwarted by the Russia-Ukraine conflict, which is having a negative impact on global growth.</w:t>
      </w:r>
      <w:r w:rsidR="00BF2459" w:rsidRPr="002F7B3A">
        <w:rPr>
          <w:rFonts w:ascii="Arial" w:hAnsi="Arial" w:cs="Arial"/>
          <w:sz w:val="20"/>
          <w:szCs w:val="20"/>
        </w:rPr>
        <w:t xml:space="preserve"> Predictions from Atradius have been downwardly revised by 0.7% </w:t>
      </w:r>
      <w:r w:rsidR="00383E0A" w:rsidRPr="002F7B3A">
        <w:rPr>
          <w:rFonts w:ascii="Arial" w:hAnsi="Arial" w:cs="Arial"/>
          <w:sz w:val="20"/>
          <w:szCs w:val="20"/>
        </w:rPr>
        <w:t>in 2022 and 0.4% in 2023. Despite this revision, Atradius is forecasting</w:t>
      </w:r>
      <w:r w:rsidR="002E7484" w:rsidRPr="002F7B3A">
        <w:rPr>
          <w:rFonts w:ascii="Arial" w:hAnsi="Arial" w:cs="Arial"/>
          <w:sz w:val="20"/>
          <w:szCs w:val="20"/>
        </w:rPr>
        <w:t xml:space="preserve"> relatively robust</w:t>
      </w:r>
      <w:r w:rsidR="00383E0A" w:rsidRPr="002F7B3A">
        <w:rPr>
          <w:rFonts w:ascii="Arial" w:hAnsi="Arial" w:cs="Arial"/>
          <w:sz w:val="20"/>
          <w:szCs w:val="20"/>
        </w:rPr>
        <w:t xml:space="preserve"> global growth </w:t>
      </w:r>
      <w:r w:rsidR="002E7484" w:rsidRPr="002F7B3A">
        <w:rPr>
          <w:rFonts w:ascii="Arial" w:hAnsi="Arial" w:cs="Arial"/>
          <w:sz w:val="20"/>
          <w:szCs w:val="20"/>
        </w:rPr>
        <w:t>over the next two years at</w:t>
      </w:r>
      <w:r w:rsidR="00383E0A" w:rsidRPr="002F7B3A">
        <w:rPr>
          <w:rFonts w:ascii="Arial" w:hAnsi="Arial" w:cs="Arial"/>
          <w:sz w:val="20"/>
          <w:szCs w:val="20"/>
        </w:rPr>
        <w:t xml:space="preserve"> </w:t>
      </w:r>
      <w:r w:rsidR="002E7484" w:rsidRPr="002F7B3A">
        <w:rPr>
          <w:rFonts w:ascii="Arial" w:hAnsi="Arial" w:cs="Arial"/>
          <w:sz w:val="20"/>
          <w:szCs w:val="20"/>
        </w:rPr>
        <w:t xml:space="preserve">3.4% in 2022 and 3.2% in 2023. </w:t>
      </w:r>
      <w:r w:rsidRPr="002F7B3A">
        <w:rPr>
          <w:rFonts w:ascii="Arial" w:hAnsi="Arial" w:cs="Arial"/>
          <w:sz w:val="20"/>
          <w:szCs w:val="20"/>
        </w:rPr>
        <w:t>This growth forecast is</w:t>
      </w:r>
      <w:r w:rsidR="002E7484" w:rsidRPr="002F7B3A">
        <w:rPr>
          <w:rFonts w:ascii="Arial" w:hAnsi="Arial" w:cs="Arial"/>
          <w:sz w:val="20"/>
          <w:szCs w:val="20"/>
        </w:rPr>
        <w:t>, however,</w:t>
      </w:r>
      <w:r w:rsidRPr="002F7B3A">
        <w:rPr>
          <w:rFonts w:ascii="Arial" w:hAnsi="Arial" w:cs="Arial"/>
          <w:sz w:val="20"/>
          <w:szCs w:val="20"/>
        </w:rPr>
        <w:t xml:space="preserve"> subject to a high level of uncertainty</w:t>
      </w:r>
      <w:r w:rsidR="002E7484" w:rsidRPr="002F7B3A">
        <w:rPr>
          <w:rFonts w:ascii="Arial" w:hAnsi="Arial" w:cs="Arial"/>
          <w:sz w:val="20"/>
          <w:szCs w:val="20"/>
        </w:rPr>
        <w:t xml:space="preserve">. </w:t>
      </w:r>
    </w:p>
    <w:p w14:paraId="7A1C8645" w14:textId="5D65B5C9" w:rsidR="008B0293" w:rsidRDefault="00A8692A" w:rsidP="002F7B3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Unsurprisingly, prices of a wide range of commodities are set to increase significantly in 2022, </w:t>
      </w:r>
      <w:r w:rsidR="00F25A94">
        <w:rPr>
          <w:rFonts w:ascii="Arial" w:hAnsi="Arial" w:cs="Arial"/>
          <w:sz w:val="20"/>
          <w:szCs w:val="20"/>
        </w:rPr>
        <w:t xml:space="preserve">partly as a result of </w:t>
      </w:r>
      <w:r>
        <w:rPr>
          <w:rFonts w:ascii="Arial" w:hAnsi="Arial" w:cs="Arial"/>
          <w:sz w:val="20"/>
          <w:szCs w:val="20"/>
        </w:rPr>
        <w:t xml:space="preserve">the Russia-Ukraine conflict. </w:t>
      </w:r>
      <w:r w:rsidR="00A863ED">
        <w:rPr>
          <w:rFonts w:ascii="Arial" w:hAnsi="Arial" w:cs="Arial"/>
          <w:sz w:val="20"/>
          <w:szCs w:val="20"/>
        </w:rPr>
        <w:t>Oil and gas prices are</w:t>
      </w:r>
      <w:r w:rsidR="008E0F92">
        <w:rPr>
          <w:rFonts w:ascii="Arial" w:hAnsi="Arial" w:cs="Arial"/>
          <w:sz w:val="20"/>
          <w:szCs w:val="20"/>
        </w:rPr>
        <w:t xml:space="preserve"> already</w:t>
      </w:r>
      <w:r w:rsidR="00A863ED">
        <w:rPr>
          <w:rFonts w:ascii="Arial" w:hAnsi="Arial" w:cs="Arial"/>
          <w:sz w:val="20"/>
          <w:szCs w:val="20"/>
        </w:rPr>
        <w:t xml:space="preserve"> showing renewed volatility</w:t>
      </w:r>
      <w:r w:rsidR="008E0F92">
        <w:rPr>
          <w:rFonts w:ascii="Arial" w:hAnsi="Arial" w:cs="Arial"/>
          <w:sz w:val="20"/>
          <w:szCs w:val="20"/>
        </w:rPr>
        <w:t>, but Atradius also forecasts prices of commodities</w:t>
      </w:r>
      <w:r w:rsidR="00F8090A">
        <w:rPr>
          <w:rFonts w:ascii="Arial" w:hAnsi="Arial" w:cs="Arial"/>
          <w:sz w:val="20"/>
          <w:szCs w:val="20"/>
        </w:rPr>
        <w:t xml:space="preserve"> produced in Russia and Ukraine to increase significantly. These include</w:t>
      </w:r>
      <w:r w:rsidR="008E0F92">
        <w:rPr>
          <w:rFonts w:ascii="Arial" w:hAnsi="Arial" w:cs="Arial"/>
          <w:sz w:val="20"/>
          <w:szCs w:val="20"/>
        </w:rPr>
        <w:t xml:space="preserve"> </w:t>
      </w:r>
      <w:r w:rsidR="00F8090A" w:rsidRPr="002F7B3A">
        <w:rPr>
          <w:rFonts w:ascii="Arial" w:hAnsi="Arial" w:cs="Arial"/>
          <w:sz w:val="20"/>
          <w:szCs w:val="20"/>
        </w:rPr>
        <w:t>wheat, barley, vegetable oils and base metals</w:t>
      </w:r>
      <w:r w:rsidR="00F8090A">
        <w:rPr>
          <w:rFonts w:ascii="Arial" w:hAnsi="Arial" w:cs="Arial"/>
          <w:sz w:val="20"/>
          <w:szCs w:val="20"/>
        </w:rPr>
        <w:t>.</w:t>
      </w:r>
      <w:r w:rsidR="00F35BF8">
        <w:rPr>
          <w:rFonts w:ascii="Arial" w:hAnsi="Arial" w:cs="Arial"/>
          <w:sz w:val="20"/>
          <w:szCs w:val="20"/>
        </w:rPr>
        <w:t xml:space="preserve"> </w:t>
      </w:r>
    </w:p>
    <w:p w14:paraId="7F2A05AF" w14:textId="7F0CBC58" w:rsidR="00A863ED" w:rsidRDefault="005240C9" w:rsidP="002F7B3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Russia-Ukraine is also having an impact on some specific supply chains</w:t>
      </w:r>
      <w:r w:rsidR="00D2722C">
        <w:rPr>
          <w:rFonts w:ascii="Arial" w:hAnsi="Arial" w:cs="Arial"/>
          <w:sz w:val="20"/>
          <w:szCs w:val="20"/>
        </w:rPr>
        <w:t xml:space="preserve">, including semiconductors and automotive. Despite these challenges, </w:t>
      </w:r>
      <w:r w:rsidR="00F8090A">
        <w:rPr>
          <w:rFonts w:ascii="Arial" w:hAnsi="Arial" w:cs="Arial"/>
          <w:sz w:val="20"/>
          <w:szCs w:val="20"/>
        </w:rPr>
        <w:t>Atradius reports some easing of supply chain bottlenecks</w:t>
      </w:r>
      <w:r w:rsidR="0062284C">
        <w:rPr>
          <w:rFonts w:ascii="Arial" w:hAnsi="Arial" w:cs="Arial"/>
          <w:sz w:val="20"/>
          <w:szCs w:val="20"/>
        </w:rPr>
        <w:t xml:space="preserve"> and although</w:t>
      </w:r>
      <w:r w:rsidR="00F8090A">
        <w:rPr>
          <w:rFonts w:ascii="Arial" w:hAnsi="Arial" w:cs="Arial"/>
          <w:sz w:val="20"/>
          <w:szCs w:val="20"/>
        </w:rPr>
        <w:t xml:space="preserve"> shipping costs and</w:t>
      </w:r>
      <w:r>
        <w:rPr>
          <w:rFonts w:ascii="Arial" w:hAnsi="Arial" w:cs="Arial"/>
          <w:sz w:val="20"/>
          <w:szCs w:val="20"/>
        </w:rPr>
        <w:t xml:space="preserve"> equipment shortages remain high</w:t>
      </w:r>
      <w:r w:rsidR="00F25A94">
        <w:rPr>
          <w:rFonts w:ascii="Arial" w:hAnsi="Arial" w:cs="Arial"/>
          <w:sz w:val="20"/>
          <w:szCs w:val="20"/>
        </w:rPr>
        <w:t>,</w:t>
      </w:r>
      <w:r w:rsidR="0062284C">
        <w:rPr>
          <w:rFonts w:ascii="Arial" w:hAnsi="Arial" w:cs="Arial"/>
          <w:sz w:val="20"/>
          <w:szCs w:val="20"/>
        </w:rPr>
        <w:t xml:space="preserve"> trade growth is expected to remain robust in 2022</w:t>
      </w:r>
      <w:r w:rsidR="00F35BF8">
        <w:rPr>
          <w:rFonts w:ascii="Arial" w:hAnsi="Arial" w:cs="Arial"/>
          <w:sz w:val="20"/>
          <w:szCs w:val="20"/>
        </w:rPr>
        <w:t xml:space="preserve"> thanks to high consumer demand. </w:t>
      </w:r>
    </w:p>
    <w:p w14:paraId="4FC9BCAD" w14:textId="77777777" w:rsidR="008B0293" w:rsidRDefault="002B4A74" w:rsidP="002F7B3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consumer demand is, however, one of a few factors </w:t>
      </w:r>
      <w:r w:rsidR="00B55BAA">
        <w:rPr>
          <w:rFonts w:ascii="Arial" w:hAnsi="Arial" w:cs="Arial"/>
          <w:sz w:val="20"/>
          <w:szCs w:val="20"/>
        </w:rPr>
        <w:t>contributing to the predicted increase in g</w:t>
      </w:r>
      <w:r w:rsidR="00154AC2">
        <w:rPr>
          <w:rFonts w:ascii="Arial" w:hAnsi="Arial" w:cs="Arial"/>
          <w:sz w:val="20"/>
          <w:szCs w:val="20"/>
        </w:rPr>
        <w:t>l</w:t>
      </w:r>
      <w:r w:rsidR="00B55BAA">
        <w:rPr>
          <w:rFonts w:ascii="Arial" w:hAnsi="Arial" w:cs="Arial"/>
          <w:sz w:val="20"/>
          <w:szCs w:val="20"/>
        </w:rPr>
        <w:t xml:space="preserve">obal inflation in 2022 – along with rising energy and commodities prices. This, coupled with the Russia-Ukraine conflict which is further increasing the price of commodities, </w:t>
      </w:r>
      <w:r w:rsidR="00053A14">
        <w:rPr>
          <w:rFonts w:ascii="Arial" w:hAnsi="Arial" w:cs="Arial"/>
          <w:sz w:val="20"/>
          <w:szCs w:val="20"/>
        </w:rPr>
        <w:t xml:space="preserve">means central banks will have to move more aggressively to quell inflation over the coming months. </w:t>
      </w:r>
    </w:p>
    <w:p w14:paraId="1EB9A17C" w14:textId="6B8992BF" w:rsidR="00F35BF8" w:rsidRDefault="00BF0D8F" w:rsidP="002F7B3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Atradius reports that h</w:t>
      </w:r>
      <w:r w:rsidR="00053A14">
        <w:rPr>
          <w:rFonts w:ascii="Arial" w:hAnsi="Arial" w:cs="Arial"/>
          <w:sz w:val="20"/>
          <w:szCs w:val="20"/>
        </w:rPr>
        <w:t>igh inflation</w:t>
      </w:r>
      <w:r w:rsidR="005443B5">
        <w:rPr>
          <w:rFonts w:ascii="Arial" w:hAnsi="Arial" w:cs="Arial"/>
          <w:sz w:val="20"/>
          <w:szCs w:val="20"/>
        </w:rPr>
        <w:t>, as well as supply chain pressures and Russia-Ukraine,</w:t>
      </w:r>
      <w:r>
        <w:rPr>
          <w:rFonts w:ascii="Arial" w:hAnsi="Arial" w:cs="Arial"/>
          <w:sz w:val="20"/>
          <w:szCs w:val="20"/>
        </w:rPr>
        <w:t xml:space="preserve"> is slowing growth in some advanced markets</w:t>
      </w:r>
      <w:r w:rsidR="005443B5">
        <w:rPr>
          <w:rFonts w:ascii="Arial" w:hAnsi="Arial" w:cs="Arial"/>
          <w:sz w:val="20"/>
          <w:szCs w:val="20"/>
        </w:rPr>
        <w:t>.</w:t>
      </w:r>
      <w:r w:rsidR="00E53F91">
        <w:rPr>
          <w:rFonts w:ascii="Arial" w:hAnsi="Arial" w:cs="Arial"/>
          <w:sz w:val="20"/>
          <w:szCs w:val="20"/>
        </w:rPr>
        <w:t xml:space="preserve"> </w:t>
      </w:r>
      <w:r w:rsidR="00E53F91" w:rsidRPr="002F7B3A">
        <w:rPr>
          <w:rFonts w:ascii="Arial" w:hAnsi="Arial" w:cs="Arial"/>
          <w:sz w:val="20"/>
          <w:szCs w:val="20"/>
        </w:rPr>
        <w:t>Growth momentum for emerging market economies is weakening</w:t>
      </w:r>
      <w:r w:rsidR="00E53F91">
        <w:rPr>
          <w:rFonts w:ascii="Arial" w:hAnsi="Arial" w:cs="Arial"/>
          <w:sz w:val="20"/>
          <w:szCs w:val="20"/>
        </w:rPr>
        <w:t xml:space="preserve"> too,</w:t>
      </w:r>
      <w:r w:rsidR="00E53F91" w:rsidRPr="002F7B3A">
        <w:rPr>
          <w:rFonts w:ascii="Arial" w:hAnsi="Arial" w:cs="Arial"/>
          <w:sz w:val="20"/>
          <w:szCs w:val="20"/>
        </w:rPr>
        <w:t xml:space="preserve"> as fiscal and monetary support</w:t>
      </w:r>
      <w:r w:rsidR="00E53F91">
        <w:rPr>
          <w:rFonts w:ascii="Arial" w:hAnsi="Arial" w:cs="Arial"/>
          <w:sz w:val="20"/>
          <w:szCs w:val="20"/>
        </w:rPr>
        <w:t xml:space="preserve"> from other markets are being</w:t>
      </w:r>
      <w:r w:rsidR="00E53F91" w:rsidRPr="002F7B3A">
        <w:rPr>
          <w:rFonts w:ascii="Arial" w:hAnsi="Arial" w:cs="Arial"/>
          <w:sz w:val="20"/>
          <w:szCs w:val="20"/>
        </w:rPr>
        <w:t xml:space="preserve"> rapidly withdrawn. </w:t>
      </w:r>
      <w:r w:rsidR="00B829D2">
        <w:rPr>
          <w:rFonts w:ascii="Arial" w:hAnsi="Arial" w:cs="Arial"/>
          <w:sz w:val="20"/>
          <w:szCs w:val="20"/>
        </w:rPr>
        <w:t>I</w:t>
      </w:r>
      <w:r w:rsidR="005443B5" w:rsidRPr="002F7B3A">
        <w:rPr>
          <w:rFonts w:ascii="Arial" w:hAnsi="Arial" w:cs="Arial"/>
          <w:sz w:val="20"/>
          <w:szCs w:val="20"/>
        </w:rPr>
        <w:t>n the eurozone</w:t>
      </w:r>
      <w:r w:rsidR="00B829D2">
        <w:rPr>
          <w:rFonts w:ascii="Arial" w:hAnsi="Arial" w:cs="Arial"/>
          <w:sz w:val="20"/>
          <w:szCs w:val="20"/>
        </w:rPr>
        <w:t xml:space="preserve"> specifically, growth</w:t>
      </w:r>
      <w:r w:rsidR="005443B5" w:rsidRPr="002F7B3A">
        <w:rPr>
          <w:rFonts w:ascii="Arial" w:hAnsi="Arial" w:cs="Arial"/>
          <w:sz w:val="20"/>
          <w:szCs w:val="20"/>
        </w:rPr>
        <w:t xml:space="preserve"> is expected to cool significantly in 2022.</w:t>
      </w:r>
      <w:r w:rsidR="00ED5CEA">
        <w:rPr>
          <w:rFonts w:ascii="Arial" w:hAnsi="Arial" w:cs="Arial"/>
          <w:sz w:val="20"/>
          <w:szCs w:val="20"/>
        </w:rPr>
        <w:t xml:space="preserve"> </w:t>
      </w:r>
      <w:r w:rsidR="00B829D2">
        <w:rPr>
          <w:rFonts w:ascii="Arial" w:hAnsi="Arial" w:cs="Arial"/>
          <w:sz w:val="20"/>
          <w:szCs w:val="20"/>
        </w:rPr>
        <w:t xml:space="preserve">Atradius notes </w:t>
      </w:r>
      <w:r w:rsidR="00BF6219">
        <w:rPr>
          <w:rFonts w:ascii="Arial" w:hAnsi="Arial" w:cs="Arial"/>
          <w:sz w:val="20"/>
          <w:szCs w:val="20"/>
        </w:rPr>
        <w:t>there</w:t>
      </w:r>
      <w:r w:rsidR="00ED5CEA">
        <w:rPr>
          <w:rFonts w:ascii="Arial" w:hAnsi="Arial" w:cs="Arial"/>
          <w:sz w:val="20"/>
          <w:szCs w:val="20"/>
        </w:rPr>
        <w:t xml:space="preserve"> were already some price pressures before conflict broke out in Ukraine, but the war has exacerbated the </w:t>
      </w:r>
      <w:r w:rsidR="00FF5BB2">
        <w:rPr>
          <w:rFonts w:ascii="Arial" w:hAnsi="Arial" w:cs="Arial"/>
          <w:sz w:val="20"/>
          <w:szCs w:val="20"/>
        </w:rPr>
        <w:t xml:space="preserve">trend and inflation is building up rapidly. </w:t>
      </w:r>
    </w:p>
    <w:p w14:paraId="169A9362" w14:textId="4F5783EF" w:rsidR="009978EF" w:rsidRDefault="00BF5DC4" w:rsidP="002F7B3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Damien Daws</w:t>
      </w:r>
      <w:r w:rsidR="006E08DD">
        <w:rPr>
          <w:rFonts w:ascii="Arial" w:hAnsi="Arial" w:cs="Arial"/>
          <w:sz w:val="20"/>
          <w:szCs w:val="20"/>
        </w:rPr>
        <w:t>on</w:t>
      </w:r>
      <w:r w:rsidR="00FF5BB2">
        <w:rPr>
          <w:rFonts w:ascii="Arial" w:hAnsi="Arial" w:cs="Arial"/>
          <w:sz w:val="20"/>
          <w:szCs w:val="20"/>
        </w:rPr>
        <w:t xml:space="preserve">, </w:t>
      </w:r>
      <w:r w:rsidR="006E08DD">
        <w:rPr>
          <w:rFonts w:ascii="Arial" w:hAnsi="Arial" w:cs="Arial"/>
          <w:sz w:val="20"/>
          <w:szCs w:val="20"/>
        </w:rPr>
        <w:t>Regional Manager</w:t>
      </w:r>
      <w:r w:rsidR="00FF5BB2">
        <w:rPr>
          <w:rFonts w:ascii="Arial" w:hAnsi="Arial" w:cs="Arial"/>
          <w:sz w:val="20"/>
          <w:szCs w:val="20"/>
        </w:rPr>
        <w:t xml:space="preserve"> at Atradius, </w:t>
      </w:r>
      <w:r w:rsidR="006E08DD">
        <w:rPr>
          <w:rFonts w:ascii="Arial" w:hAnsi="Arial" w:cs="Arial"/>
          <w:sz w:val="20"/>
          <w:szCs w:val="20"/>
        </w:rPr>
        <w:t>commented</w:t>
      </w:r>
      <w:r w:rsidR="00FF5BB2">
        <w:rPr>
          <w:rFonts w:ascii="Arial" w:hAnsi="Arial" w:cs="Arial"/>
          <w:sz w:val="20"/>
          <w:szCs w:val="20"/>
        </w:rPr>
        <w:t xml:space="preserve">: </w:t>
      </w:r>
      <w:r w:rsidR="004D758D">
        <w:rPr>
          <w:rFonts w:ascii="Arial" w:hAnsi="Arial" w:cs="Arial"/>
          <w:sz w:val="20"/>
          <w:szCs w:val="20"/>
        </w:rPr>
        <w:t>“</w:t>
      </w:r>
      <w:r w:rsidR="00D44B5C">
        <w:rPr>
          <w:rFonts w:ascii="Arial" w:hAnsi="Arial" w:cs="Arial"/>
          <w:sz w:val="20"/>
          <w:szCs w:val="20"/>
        </w:rPr>
        <w:t>As anyone who keeps up with the news will know, t</w:t>
      </w:r>
      <w:r w:rsidR="0014065E">
        <w:rPr>
          <w:rFonts w:ascii="Arial" w:hAnsi="Arial" w:cs="Arial"/>
          <w:sz w:val="20"/>
          <w:szCs w:val="20"/>
        </w:rPr>
        <w:t>hese are highly turbulent and uncertain times.</w:t>
      </w:r>
      <w:r w:rsidR="00D44B5C">
        <w:rPr>
          <w:rFonts w:ascii="Arial" w:hAnsi="Arial" w:cs="Arial"/>
          <w:sz w:val="20"/>
          <w:szCs w:val="20"/>
        </w:rPr>
        <w:t xml:space="preserve"> </w:t>
      </w:r>
      <w:r w:rsidR="00154AC2">
        <w:rPr>
          <w:rFonts w:ascii="Arial" w:hAnsi="Arial" w:cs="Arial"/>
          <w:sz w:val="20"/>
          <w:szCs w:val="20"/>
        </w:rPr>
        <w:t xml:space="preserve">Not only are many markets still struggling to recover from the impact of the pandemic, lockdowns and waves of </w:t>
      </w:r>
      <w:r w:rsidR="00F82E7D">
        <w:rPr>
          <w:rFonts w:ascii="Arial" w:hAnsi="Arial" w:cs="Arial"/>
          <w:sz w:val="20"/>
          <w:szCs w:val="20"/>
        </w:rPr>
        <w:t xml:space="preserve">COVID infections, </w:t>
      </w:r>
      <w:r w:rsidR="006D47EC">
        <w:rPr>
          <w:rFonts w:ascii="Arial" w:hAnsi="Arial" w:cs="Arial"/>
          <w:sz w:val="20"/>
          <w:szCs w:val="20"/>
        </w:rPr>
        <w:t>but we’re</w:t>
      </w:r>
      <w:r w:rsidR="00F82E7D">
        <w:rPr>
          <w:rFonts w:ascii="Arial" w:hAnsi="Arial" w:cs="Arial"/>
          <w:sz w:val="20"/>
          <w:szCs w:val="20"/>
        </w:rPr>
        <w:t xml:space="preserve"> also dealing with the ripple effect of the conflict in Ukraine which is having a knock-on effect globally. </w:t>
      </w:r>
    </w:p>
    <w:p w14:paraId="032FBB5C" w14:textId="69D9E81D" w:rsidR="002103F6" w:rsidRDefault="009978EF" w:rsidP="002F7B3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“Right now, we’re</w:t>
      </w:r>
      <w:r w:rsidR="006D47EC">
        <w:rPr>
          <w:rFonts w:ascii="Arial" w:hAnsi="Arial" w:cs="Arial"/>
          <w:sz w:val="20"/>
          <w:szCs w:val="20"/>
        </w:rPr>
        <w:t xml:space="preserve"> seeing huge consumer demand across</w:t>
      </w:r>
      <w:r>
        <w:rPr>
          <w:rFonts w:ascii="Arial" w:hAnsi="Arial" w:cs="Arial"/>
          <w:sz w:val="20"/>
          <w:szCs w:val="20"/>
        </w:rPr>
        <w:t xml:space="preserve"> the board which many businesses are struggling to keep up with. But as the cost-of-living increases and disposable income decreases for many of us, we may start to see a drop-off in demand. For </w:t>
      </w:r>
      <w:r w:rsidR="007268F7">
        <w:rPr>
          <w:rFonts w:ascii="Arial" w:hAnsi="Arial" w:cs="Arial"/>
          <w:sz w:val="20"/>
          <w:szCs w:val="20"/>
        </w:rPr>
        <w:t xml:space="preserve">economies like ours here in the UK, where recovery from the pandemic was very much consumer-led, this is </w:t>
      </w:r>
      <w:r w:rsidR="002103F6">
        <w:rPr>
          <w:rFonts w:ascii="Arial" w:hAnsi="Arial" w:cs="Arial"/>
          <w:sz w:val="20"/>
          <w:szCs w:val="20"/>
        </w:rPr>
        <w:t>already causing increasing</w:t>
      </w:r>
      <w:r w:rsidR="007268F7">
        <w:rPr>
          <w:rFonts w:ascii="Arial" w:hAnsi="Arial" w:cs="Arial"/>
          <w:sz w:val="20"/>
          <w:szCs w:val="20"/>
        </w:rPr>
        <w:t xml:space="preserve"> challenge</w:t>
      </w:r>
      <w:r w:rsidR="002103F6">
        <w:rPr>
          <w:rFonts w:ascii="Arial" w:hAnsi="Arial" w:cs="Arial"/>
          <w:sz w:val="20"/>
          <w:szCs w:val="20"/>
        </w:rPr>
        <w:t>s</w:t>
      </w:r>
      <w:r w:rsidR="007268F7">
        <w:rPr>
          <w:rFonts w:ascii="Arial" w:hAnsi="Arial" w:cs="Arial"/>
          <w:sz w:val="20"/>
          <w:szCs w:val="20"/>
        </w:rPr>
        <w:t xml:space="preserve"> </w:t>
      </w:r>
      <w:r w:rsidR="002103F6" w:rsidRPr="002F7B3A">
        <w:rPr>
          <w:rFonts w:ascii="Arial" w:hAnsi="Arial" w:cs="Arial"/>
          <w:sz w:val="20"/>
          <w:szCs w:val="20"/>
        </w:rPr>
        <w:t>as accelerating inflation drives a more rapid turnaround in monetary support.</w:t>
      </w:r>
      <w:r w:rsidR="006664BC">
        <w:rPr>
          <w:rFonts w:ascii="Arial" w:hAnsi="Arial" w:cs="Arial"/>
          <w:sz w:val="20"/>
          <w:szCs w:val="20"/>
        </w:rPr>
        <w:t xml:space="preserve"> </w:t>
      </w:r>
    </w:p>
    <w:p w14:paraId="37635D58" w14:textId="368B8129" w:rsidR="002E7484" w:rsidRDefault="006664BC" w:rsidP="002F7B3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BF6219">
        <w:rPr>
          <w:rFonts w:ascii="Arial" w:hAnsi="Arial" w:cs="Arial"/>
          <w:sz w:val="20"/>
          <w:szCs w:val="20"/>
        </w:rPr>
        <w:t>With supply chain pressures and</w:t>
      </w:r>
      <w:r w:rsidR="004C1FB2">
        <w:rPr>
          <w:rFonts w:ascii="Arial" w:hAnsi="Arial" w:cs="Arial"/>
          <w:sz w:val="20"/>
          <w:szCs w:val="20"/>
        </w:rPr>
        <w:t xml:space="preserve"> </w:t>
      </w:r>
      <w:r w:rsidR="001C5469">
        <w:rPr>
          <w:rFonts w:ascii="Arial" w:hAnsi="Arial" w:cs="Arial"/>
          <w:sz w:val="20"/>
          <w:szCs w:val="20"/>
        </w:rPr>
        <w:t>rising</w:t>
      </w:r>
      <w:r w:rsidR="004C1FB2">
        <w:rPr>
          <w:rFonts w:ascii="Arial" w:hAnsi="Arial" w:cs="Arial"/>
          <w:sz w:val="20"/>
          <w:szCs w:val="20"/>
        </w:rPr>
        <w:t xml:space="preserve"> energy prices leading to increased </w:t>
      </w:r>
      <w:r w:rsidR="001C5469">
        <w:rPr>
          <w:rFonts w:ascii="Arial" w:hAnsi="Arial" w:cs="Arial"/>
          <w:sz w:val="20"/>
          <w:szCs w:val="20"/>
        </w:rPr>
        <w:t xml:space="preserve">operating </w:t>
      </w:r>
      <w:r w:rsidR="004C1FB2">
        <w:rPr>
          <w:rFonts w:ascii="Arial" w:hAnsi="Arial" w:cs="Arial"/>
          <w:sz w:val="20"/>
          <w:szCs w:val="20"/>
        </w:rPr>
        <w:t xml:space="preserve">costs, and insolvencies forecast to rise in 2022, one of the best ways </w:t>
      </w:r>
      <w:r w:rsidR="001C5469">
        <w:rPr>
          <w:rFonts w:ascii="Arial" w:hAnsi="Arial" w:cs="Arial"/>
          <w:sz w:val="20"/>
          <w:szCs w:val="20"/>
        </w:rPr>
        <w:t xml:space="preserve">businesses can protect themselves </w:t>
      </w:r>
      <w:r w:rsidR="00B5582B">
        <w:rPr>
          <w:rFonts w:ascii="Arial" w:hAnsi="Arial" w:cs="Arial"/>
          <w:sz w:val="20"/>
          <w:szCs w:val="20"/>
        </w:rPr>
        <w:t xml:space="preserve">against uncertainties is to invest in trade credit insurance. </w:t>
      </w:r>
      <w:r w:rsidR="00BE157E">
        <w:rPr>
          <w:rFonts w:ascii="Arial" w:hAnsi="Arial" w:cs="Arial"/>
          <w:sz w:val="20"/>
          <w:szCs w:val="20"/>
        </w:rPr>
        <w:t>Not only does trade credit insurance protect against non-payment, it also gives businesses access to insights and research on who they’re trading with</w:t>
      </w:r>
      <w:r w:rsidR="00FE68F8">
        <w:rPr>
          <w:rFonts w:ascii="Arial" w:hAnsi="Arial" w:cs="Arial"/>
          <w:sz w:val="20"/>
          <w:szCs w:val="20"/>
        </w:rPr>
        <w:t xml:space="preserve"> and the specific challenges facing particular countries and markets as we navigate what is set to be an uncertain couple of years.”</w:t>
      </w:r>
    </w:p>
    <w:p w14:paraId="6E5599A0" w14:textId="56F85A59" w:rsidR="00FE68F8" w:rsidRPr="002F7B3A" w:rsidRDefault="00FE68F8" w:rsidP="00FE68F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more information on Atradius, head to </w:t>
      </w:r>
      <w:hyperlink r:id="rId9" w:history="1">
        <w:r w:rsidRPr="002F7B3A">
          <w:rPr>
            <w:rStyle w:val="Hyperlink"/>
            <w:rFonts w:ascii="Arial" w:hAnsi="Arial" w:cs="Arial"/>
            <w:sz w:val="20"/>
            <w:szCs w:val="20"/>
          </w:rPr>
          <w:t>https://atradius.co.uk</w:t>
        </w:r>
      </w:hyperlink>
      <w:r>
        <w:rPr>
          <w:rStyle w:val="Hyperlink"/>
          <w:rFonts w:ascii="Arial" w:hAnsi="Arial" w:cs="Arial"/>
          <w:sz w:val="20"/>
          <w:szCs w:val="20"/>
        </w:rPr>
        <w:t xml:space="preserve">. </w:t>
      </w:r>
    </w:p>
    <w:p w14:paraId="76314A5B" w14:textId="64F38DC0" w:rsidR="00FE68F8" w:rsidRPr="002F7B3A" w:rsidRDefault="00FE68F8" w:rsidP="002F7B3A">
      <w:pPr>
        <w:spacing w:line="360" w:lineRule="auto"/>
        <w:rPr>
          <w:rFonts w:ascii="Arial" w:hAnsi="Arial" w:cs="Arial"/>
          <w:sz w:val="20"/>
          <w:szCs w:val="20"/>
        </w:rPr>
      </w:pPr>
    </w:p>
    <w:p w14:paraId="693C68DE" w14:textId="11B82155" w:rsidR="007E1540" w:rsidRPr="002F7B3A" w:rsidRDefault="007E1540" w:rsidP="002F7B3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7B3A">
        <w:rPr>
          <w:rFonts w:ascii="Arial" w:hAnsi="Arial" w:cs="Arial"/>
          <w:b/>
          <w:bCs/>
          <w:sz w:val="20"/>
          <w:szCs w:val="20"/>
        </w:rPr>
        <w:t>ENDS</w:t>
      </w:r>
    </w:p>
    <w:p w14:paraId="56D4358C" w14:textId="31BFB4F7" w:rsidR="00B237F9" w:rsidRPr="002F7B3A" w:rsidRDefault="00B237F9" w:rsidP="002F7B3A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F7B3A">
        <w:rPr>
          <w:rFonts w:ascii="Arial" w:hAnsi="Arial" w:cs="Arial"/>
          <w:b/>
          <w:bCs/>
          <w:color w:val="000000"/>
          <w:sz w:val="20"/>
          <w:szCs w:val="20"/>
        </w:rPr>
        <w:t>About Atradius</w:t>
      </w:r>
      <w:r w:rsidRPr="002F7B3A">
        <w:rPr>
          <w:rFonts w:ascii="Arial" w:hAnsi="Arial" w:cs="Arial"/>
          <w:color w:val="000000"/>
          <w:sz w:val="20"/>
          <w:szCs w:val="20"/>
        </w:rPr>
        <w:br/>
        <w:t>Atradius is a global provider of credit insurance, bond and surety, collections and information services, with a strategic presence in over 50 countries. The products offered by Atradius protect companies around the world against the default risks associated with selling goods and services on credit. Atradius is a member of Grupo Catalana Occidente (GCO.MC), one of the largest insurers in Spain and one of the largest credit insurers in the world. You can find more information online at</w:t>
      </w:r>
      <w:r w:rsidRPr="002F7B3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history="1">
        <w:r w:rsidRPr="002F7B3A">
          <w:rPr>
            <w:rStyle w:val="Hyperlink"/>
            <w:rFonts w:ascii="Arial" w:hAnsi="Arial" w:cs="Arial"/>
            <w:sz w:val="20"/>
            <w:szCs w:val="20"/>
          </w:rPr>
          <w:t>https://atradius.co.uk</w:t>
        </w:r>
      </w:hyperlink>
    </w:p>
    <w:p w14:paraId="62EF746D" w14:textId="524514EA" w:rsidR="00B237F9" w:rsidRPr="002F7B3A" w:rsidRDefault="00B237F9" w:rsidP="002F7B3A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</w:pPr>
      <w:r w:rsidRPr="002F7B3A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For further information: </w:t>
      </w:r>
    </w:p>
    <w:p w14:paraId="07861314" w14:textId="660BCCF6" w:rsidR="00B237F9" w:rsidRPr="002F7B3A" w:rsidRDefault="00B237F9" w:rsidP="002F7B3A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F7B3A">
        <w:rPr>
          <w:rFonts w:ascii="Arial" w:hAnsi="Arial" w:cs="Arial"/>
          <w:color w:val="000000"/>
          <w:sz w:val="20"/>
          <w:szCs w:val="20"/>
        </w:rPr>
        <w:t xml:space="preserve">Caroline Hodges – </w:t>
      </w:r>
      <w:hyperlink r:id="rId11" w:history="1">
        <w:r w:rsidRPr="002F7B3A">
          <w:rPr>
            <w:rStyle w:val="Hyperlink"/>
            <w:rFonts w:ascii="Arial" w:hAnsi="Arial" w:cs="Arial"/>
            <w:sz w:val="20"/>
            <w:szCs w:val="20"/>
          </w:rPr>
          <w:t>chodges@golleyslater.co.uk</w:t>
        </w:r>
      </w:hyperlink>
      <w:r w:rsidRPr="002F7B3A">
        <w:rPr>
          <w:rFonts w:ascii="Arial" w:hAnsi="Arial" w:cs="Arial"/>
          <w:color w:val="000000"/>
          <w:sz w:val="20"/>
          <w:szCs w:val="20"/>
        </w:rPr>
        <w:t xml:space="preserve"> / </w:t>
      </w:r>
      <w:r w:rsidRPr="002F7B3A">
        <w:rPr>
          <w:rFonts w:ascii="Arial" w:hAnsi="Arial" w:cs="Arial"/>
          <w:sz w:val="20"/>
          <w:szCs w:val="20"/>
        </w:rPr>
        <w:t>029 2078 6091</w:t>
      </w:r>
    </w:p>
    <w:p w14:paraId="575B72F8" w14:textId="053BE3AB" w:rsidR="00B237F9" w:rsidRPr="002F7B3A" w:rsidRDefault="00B237F9" w:rsidP="002F7B3A">
      <w:pPr>
        <w:spacing w:line="360" w:lineRule="auto"/>
        <w:rPr>
          <w:rFonts w:ascii="Arial" w:hAnsi="Arial" w:cs="Arial"/>
          <w:sz w:val="20"/>
          <w:szCs w:val="20"/>
        </w:rPr>
      </w:pPr>
      <w:r w:rsidRPr="002F7B3A">
        <w:rPr>
          <w:rFonts w:ascii="Arial" w:hAnsi="Arial" w:cs="Arial"/>
          <w:sz w:val="20"/>
          <w:szCs w:val="20"/>
        </w:rPr>
        <w:t xml:space="preserve">Phoebe Davies – </w:t>
      </w:r>
      <w:hyperlink r:id="rId12" w:history="1">
        <w:r w:rsidRPr="002F7B3A">
          <w:rPr>
            <w:rStyle w:val="Hyperlink"/>
            <w:rFonts w:ascii="Arial" w:hAnsi="Arial" w:cs="Arial"/>
            <w:sz w:val="20"/>
            <w:szCs w:val="20"/>
          </w:rPr>
          <w:t>pdavies@golleyslater.co.uk</w:t>
        </w:r>
      </w:hyperlink>
      <w:r w:rsidRPr="002F7B3A">
        <w:rPr>
          <w:rFonts w:ascii="Arial" w:hAnsi="Arial" w:cs="Arial"/>
          <w:sz w:val="20"/>
          <w:szCs w:val="20"/>
        </w:rPr>
        <w:t xml:space="preserve"> / </w:t>
      </w:r>
      <w:r w:rsidRPr="002F7B3A">
        <w:rPr>
          <w:rFonts w:ascii="Arial" w:hAnsi="Arial" w:cs="Arial"/>
          <w:color w:val="242424"/>
          <w:sz w:val="20"/>
          <w:szCs w:val="20"/>
          <w:shd w:val="clear" w:color="auto" w:fill="FFFFFF"/>
        </w:rPr>
        <w:t>029 2078 6153</w:t>
      </w:r>
    </w:p>
    <w:p w14:paraId="763F079A" w14:textId="77777777" w:rsidR="00B237F9" w:rsidRPr="002F7B3A" w:rsidRDefault="00B237F9" w:rsidP="002F7B3A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B237F9" w:rsidRPr="002F7B3A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9A25" w14:textId="77777777" w:rsidR="00E76BAC" w:rsidRDefault="00E76BAC" w:rsidP="00845A77">
      <w:pPr>
        <w:spacing w:after="0" w:line="240" w:lineRule="auto"/>
      </w:pPr>
      <w:r>
        <w:separator/>
      </w:r>
    </w:p>
  </w:endnote>
  <w:endnote w:type="continuationSeparator" w:id="0">
    <w:p w14:paraId="59986066" w14:textId="77777777" w:rsidR="00E76BAC" w:rsidRDefault="00E76BAC" w:rsidP="0084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lana Sans Regular">
    <w:altName w:val="Times New Roman"/>
    <w:charset w:val="00"/>
    <w:family w:val="auto"/>
    <w:pitch w:val="variable"/>
    <w:sig w:usb0="00000001" w:usb1="5000205B" w:usb2="0000001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3B54" w14:textId="77777777" w:rsidR="00E76BAC" w:rsidRDefault="00E76BAC" w:rsidP="00845A77">
      <w:pPr>
        <w:spacing w:after="0" w:line="240" w:lineRule="auto"/>
      </w:pPr>
      <w:r>
        <w:separator/>
      </w:r>
    </w:p>
  </w:footnote>
  <w:footnote w:type="continuationSeparator" w:id="0">
    <w:p w14:paraId="29A5AE91" w14:textId="77777777" w:rsidR="00E76BAC" w:rsidRDefault="00E76BAC" w:rsidP="0084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21A1" w14:textId="6C643071" w:rsidR="00845A77" w:rsidRDefault="00845A77">
    <w:pPr>
      <w:pStyle w:val="Header"/>
    </w:pPr>
    <w:r w:rsidRPr="00F708E6">
      <w:rPr>
        <w:rFonts w:ascii="Catalana Sans Regular" w:hAnsi="Catalana Sans Regular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229F0CF" wp14:editId="310417AF">
          <wp:simplePos x="0" y="0"/>
          <wp:positionH relativeFrom="column">
            <wp:posOffset>-495300</wp:posOffset>
          </wp:positionH>
          <wp:positionV relativeFrom="paragraph">
            <wp:posOffset>-133985</wp:posOffset>
          </wp:positionV>
          <wp:extent cx="1692275" cy="464185"/>
          <wp:effectExtent l="0" t="0" r="0" b="5715"/>
          <wp:wrapSquare wrapText="bothSides"/>
          <wp:docPr id="3" name="Picture 1" descr="http://www.atradiusidentity.net/downloads/logos/img/ATR_wt_rgb_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http://www.atradiusidentity.net/downloads/logos/img/ATR_wt_rgb_l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21AE2" w14:textId="77777777" w:rsidR="00845A77" w:rsidRDefault="00845A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E5"/>
    <w:rsid w:val="00026B99"/>
    <w:rsid w:val="00041B19"/>
    <w:rsid w:val="00053A14"/>
    <w:rsid w:val="00081B1F"/>
    <w:rsid w:val="000829A2"/>
    <w:rsid w:val="001134E3"/>
    <w:rsid w:val="00113AB0"/>
    <w:rsid w:val="001250A8"/>
    <w:rsid w:val="0014065E"/>
    <w:rsid w:val="00154AC2"/>
    <w:rsid w:val="00197BFF"/>
    <w:rsid w:val="001C5469"/>
    <w:rsid w:val="001F5A1F"/>
    <w:rsid w:val="002103F6"/>
    <w:rsid w:val="00243193"/>
    <w:rsid w:val="002B4A74"/>
    <w:rsid w:val="002B79CA"/>
    <w:rsid w:val="002D2D3F"/>
    <w:rsid w:val="002E7484"/>
    <w:rsid w:val="002F777A"/>
    <w:rsid w:val="002F7B3A"/>
    <w:rsid w:val="00355533"/>
    <w:rsid w:val="00363ED4"/>
    <w:rsid w:val="00364C12"/>
    <w:rsid w:val="00383E0A"/>
    <w:rsid w:val="003B6F32"/>
    <w:rsid w:val="003B7531"/>
    <w:rsid w:val="004204CF"/>
    <w:rsid w:val="0043245D"/>
    <w:rsid w:val="004404AB"/>
    <w:rsid w:val="00476D31"/>
    <w:rsid w:val="004A0278"/>
    <w:rsid w:val="004A308D"/>
    <w:rsid w:val="004B573F"/>
    <w:rsid w:val="004C1FB2"/>
    <w:rsid w:val="004D758D"/>
    <w:rsid w:val="004F5E4C"/>
    <w:rsid w:val="005240C9"/>
    <w:rsid w:val="005443B5"/>
    <w:rsid w:val="00592120"/>
    <w:rsid w:val="005D5B18"/>
    <w:rsid w:val="005D7017"/>
    <w:rsid w:val="005F3525"/>
    <w:rsid w:val="005F633E"/>
    <w:rsid w:val="00600C69"/>
    <w:rsid w:val="0062284C"/>
    <w:rsid w:val="00624672"/>
    <w:rsid w:val="006664BC"/>
    <w:rsid w:val="006974D9"/>
    <w:rsid w:val="006D47EC"/>
    <w:rsid w:val="006E08DD"/>
    <w:rsid w:val="007268F7"/>
    <w:rsid w:val="007866B1"/>
    <w:rsid w:val="00791D84"/>
    <w:rsid w:val="007B1463"/>
    <w:rsid w:val="007E1540"/>
    <w:rsid w:val="007E7504"/>
    <w:rsid w:val="00845A77"/>
    <w:rsid w:val="00847213"/>
    <w:rsid w:val="00863547"/>
    <w:rsid w:val="00887130"/>
    <w:rsid w:val="008B0293"/>
    <w:rsid w:val="008C0F6A"/>
    <w:rsid w:val="008E0F92"/>
    <w:rsid w:val="009307F0"/>
    <w:rsid w:val="009815C1"/>
    <w:rsid w:val="009978EF"/>
    <w:rsid w:val="009A5F6F"/>
    <w:rsid w:val="009B672F"/>
    <w:rsid w:val="00A04471"/>
    <w:rsid w:val="00A1102A"/>
    <w:rsid w:val="00A11780"/>
    <w:rsid w:val="00A32244"/>
    <w:rsid w:val="00A54DEF"/>
    <w:rsid w:val="00A739A7"/>
    <w:rsid w:val="00A863ED"/>
    <w:rsid w:val="00A8692A"/>
    <w:rsid w:val="00AA1C3C"/>
    <w:rsid w:val="00AA4399"/>
    <w:rsid w:val="00AE2059"/>
    <w:rsid w:val="00AE42BD"/>
    <w:rsid w:val="00B237F9"/>
    <w:rsid w:val="00B34C88"/>
    <w:rsid w:val="00B5582B"/>
    <w:rsid w:val="00B55BAA"/>
    <w:rsid w:val="00B64113"/>
    <w:rsid w:val="00B829D2"/>
    <w:rsid w:val="00BA1C02"/>
    <w:rsid w:val="00BE157E"/>
    <w:rsid w:val="00BF0D8F"/>
    <w:rsid w:val="00BF2459"/>
    <w:rsid w:val="00BF5DC4"/>
    <w:rsid w:val="00BF6219"/>
    <w:rsid w:val="00C12A2F"/>
    <w:rsid w:val="00C36225"/>
    <w:rsid w:val="00C954EB"/>
    <w:rsid w:val="00CB7D36"/>
    <w:rsid w:val="00CC6251"/>
    <w:rsid w:val="00D2722C"/>
    <w:rsid w:val="00D44B5C"/>
    <w:rsid w:val="00D52255"/>
    <w:rsid w:val="00D609BE"/>
    <w:rsid w:val="00DA03F0"/>
    <w:rsid w:val="00DD1CD4"/>
    <w:rsid w:val="00E04388"/>
    <w:rsid w:val="00E10BAE"/>
    <w:rsid w:val="00E53F91"/>
    <w:rsid w:val="00E76BAC"/>
    <w:rsid w:val="00ED5CEA"/>
    <w:rsid w:val="00F014E5"/>
    <w:rsid w:val="00F25347"/>
    <w:rsid w:val="00F25A94"/>
    <w:rsid w:val="00F328DC"/>
    <w:rsid w:val="00F35BF8"/>
    <w:rsid w:val="00F36356"/>
    <w:rsid w:val="00F5062B"/>
    <w:rsid w:val="00F8090A"/>
    <w:rsid w:val="00F82E7D"/>
    <w:rsid w:val="00FE68F8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0532"/>
  <w15:chartTrackingRefBased/>
  <w15:docId w15:val="{22B4D6B7-1CEB-40F6-9418-F7862EE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A77"/>
  </w:style>
  <w:style w:type="paragraph" w:styleId="Footer">
    <w:name w:val="footer"/>
    <w:basedOn w:val="Normal"/>
    <w:link w:val="FooterChar"/>
    <w:uiPriority w:val="99"/>
    <w:unhideWhenUsed/>
    <w:rsid w:val="0084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A77"/>
  </w:style>
  <w:style w:type="character" w:styleId="Hyperlink">
    <w:name w:val="Hyperlink"/>
    <w:rsid w:val="00B237F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237F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7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pdavies@golleyslater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odges@golleyslater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tradius.co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atradius.co.u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133C370C433439F5120E464AF0D48" ma:contentTypeVersion="16" ma:contentTypeDescription="Create a new document." ma:contentTypeScope="" ma:versionID="bde37315cbb8e689770e743f2b1e7e74">
  <xsd:schema xmlns:xsd="http://www.w3.org/2001/XMLSchema" xmlns:xs="http://www.w3.org/2001/XMLSchema" xmlns:p="http://schemas.microsoft.com/office/2006/metadata/properties" xmlns:ns2="f679bfff-377e-40e4-8dd1-e180dd2e538c" xmlns:ns3="c60de741-9f01-48a3-852c-bb74dc148d5b" targetNamespace="http://schemas.microsoft.com/office/2006/metadata/properties" ma:root="true" ma:fieldsID="3a151d3c99b9a279657a55f44f02a71b" ns2:_="" ns3:_="">
    <xsd:import namespace="f679bfff-377e-40e4-8dd1-e180dd2e538c"/>
    <xsd:import namespace="c60de741-9f01-48a3-852c-bb74dc148d5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9bfff-377e-40e4-8dd1-e180dd2e538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d6c2090-c5c6-46fa-850b-3fa8a3ea03f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8c09b13-48b0-42e1-8488-9ac13b07fd9c}" ma:internalName="TaxCatchAll" ma:showField="CatchAllData" ma:web="f679bfff-377e-40e4-8dd1-e180dd2e5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de741-9f01-48a3-852c-bb74dc148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79bfff-377e-40e4-8dd1-e180dd2e538c" xsi:nil="true"/>
    <TaxKeywordTaxHTField xmlns="f679bfff-377e-40e4-8dd1-e180dd2e538c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F6D118F7-C077-44A7-8F65-9D3D5859E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20277-49D3-49D3-B95B-5C99662B2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9bfff-377e-40e4-8dd1-e180dd2e538c"/>
    <ds:schemaRef ds:uri="c60de741-9f01-48a3-852c-bb74dc148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53692-3CA4-4806-9CA4-B87858323354}">
  <ds:schemaRefs>
    <ds:schemaRef ds:uri="http://schemas.microsoft.com/office/2006/metadata/properties"/>
    <ds:schemaRef ds:uri="http://schemas.microsoft.com/office/infopath/2007/PartnerControls"/>
    <ds:schemaRef ds:uri="f679bfff-377e-40e4-8dd1-e180dd2e53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Hodges</dc:creator>
  <cp:keywords/>
  <dc:description/>
  <cp:lastModifiedBy>Phoebe Davies</cp:lastModifiedBy>
  <cp:revision>5</cp:revision>
  <dcterms:created xsi:type="dcterms:W3CDTF">2022-05-20T13:34:00Z</dcterms:created>
  <dcterms:modified xsi:type="dcterms:W3CDTF">2022-06-06T12:06:00Z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0x0101002C0133C370C433439F5120E464AF0D48</vt:lpwstr>
  </property>
</Properties>
</file>